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eastAsia="Times New Roman"/>
          <w:sz w:val="36"/>
          <w:szCs w:val="36"/>
        </w:rPr>
      </w:pPr>
      <w:r>
        <w:rPr>
          <w:rFonts w:hint="eastAsia" w:ascii="方正小标宋简体" w:hAnsi="方正小标宋简体" w:eastAsia="方正小标宋简体" w:cs="方正小标宋简体"/>
          <w:sz w:val="36"/>
          <w:szCs w:val="36"/>
        </w:rPr>
        <w:t>云南省第四监狱</w:t>
      </w:r>
      <w:r>
        <w:rPr>
          <w:rFonts w:ascii="方正小标宋简体" w:hAnsi="方正小标宋简体" w:eastAsia="方正小标宋简体" w:cs="方正小标宋简体"/>
          <w:sz w:val="36"/>
          <w:szCs w:val="36"/>
        </w:rPr>
        <w:t>2020</w:t>
      </w:r>
      <w:r>
        <w:rPr>
          <w:rFonts w:hint="eastAsia" w:ascii="方正小标宋简体" w:hAnsi="方正小标宋简体" w:eastAsia="方正小标宋简体" w:cs="方正小标宋简体"/>
          <w:sz w:val="36"/>
          <w:szCs w:val="36"/>
        </w:rPr>
        <w:t>年度部门决算</w:t>
      </w:r>
    </w:p>
    <w:p>
      <w:pPr>
        <w:spacing w:line="590" w:lineRule="exact"/>
        <w:jc w:val="center"/>
        <w:rPr>
          <w:rFonts w:eastAsia="Times New Roman"/>
          <w:sz w:val="36"/>
          <w:szCs w:val="36"/>
        </w:rPr>
      </w:pPr>
    </w:p>
    <w:p>
      <w:pPr>
        <w:spacing w:line="590" w:lineRule="exact"/>
        <w:jc w:val="center"/>
        <w:rPr>
          <w:rFonts w:eastAsia="Times New Roman"/>
          <w:sz w:val="36"/>
          <w:szCs w:val="36"/>
        </w:rPr>
      </w:pPr>
      <w:r>
        <w:rPr>
          <w:rFonts w:hint="eastAsia" w:ascii="黑体" w:hAnsi="黑体" w:eastAsia="黑体" w:cs="黑体"/>
          <w:sz w:val="36"/>
          <w:szCs w:val="36"/>
        </w:rPr>
        <w:t>目录</w:t>
      </w:r>
    </w:p>
    <w:p>
      <w:pPr>
        <w:spacing w:line="590" w:lineRule="exact"/>
        <w:jc w:val="left"/>
        <w:rPr>
          <w:rFonts w:eastAsia="Times New Roman"/>
          <w:sz w:val="30"/>
          <w:szCs w:val="30"/>
        </w:rPr>
      </w:pPr>
      <w:r>
        <w:rPr>
          <w:rFonts w:hint="eastAsia" w:ascii="黑体" w:hAnsi="黑体" w:eastAsia="黑体" w:cs="黑体"/>
          <w:sz w:val="30"/>
          <w:szCs w:val="30"/>
        </w:rPr>
        <w:t>第一部分</w:t>
      </w:r>
      <w:r>
        <w:rPr>
          <w:rFonts w:ascii="黑体" w:hAnsi="黑体" w:eastAsia="黑体" w:cs="黑体"/>
          <w:sz w:val="30"/>
          <w:szCs w:val="30"/>
        </w:rPr>
        <w:t xml:space="preserve">  </w:t>
      </w:r>
      <w:r>
        <w:rPr>
          <w:rFonts w:hint="eastAsia" w:ascii="黑体" w:hAnsi="黑体" w:eastAsia="黑体" w:cs="黑体"/>
          <w:sz w:val="30"/>
          <w:szCs w:val="30"/>
        </w:rPr>
        <w:t>云南省第四监狱概况</w:t>
      </w:r>
    </w:p>
    <w:p>
      <w:pPr>
        <w:spacing w:line="590" w:lineRule="exact"/>
        <w:jc w:val="left"/>
        <w:rPr>
          <w:rFonts w:eastAsia="Times New Roman"/>
          <w:sz w:val="30"/>
          <w:szCs w:val="30"/>
        </w:rPr>
      </w:pPr>
      <w:r>
        <w:rPr>
          <w:rFonts w:hint="eastAsia" w:ascii="楷体" w:hAnsi="楷体" w:eastAsia="楷体" w:cs="楷体"/>
          <w:sz w:val="30"/>
          <w:szCs w:val="30"/>
        </w:rPr>
        <w:t>一、主要职能</w:t>
      </w:r>
    </w:p>
    <w:p>
      <w:pPr>
        <w:spacing w:line="590" w:lineRule="exact"/>
        <w:jc w:val="left"/>
        <w:rPr>
          <w:rFonts w:eastAsia="Times New Roman"/>
          <w:sz w:val="30"/>
          <w:szCs w:val="30"/>
        </w:rPr>
      </w:pPr>
      <w:r>
        <w:rPr>
          <w:rFonts w:hint="eastAsia" w:ascii="楷体" w:hAnsi="楷体" w:eastAsia="楷体" w:cs="楷体"/>
          <w:sz w:val="30"/>
          <w:szCs w:val="30"/>
        </w:rPr>
        <w:t>二、部门基本情况</w:t>
      </w:r>
    </w:p>
    <w:p>
      <w:pPr>
        <w:spacing w:line="590" w:lineRule="exact"/>
        <w:jc w:val="left"/>
        <w:rPr>
          <w:rFonts w:eastAsia="Times New Roman"/>
          <w:sz w:val="30"/>
          <w:szCs w:val="30"/>
        </w:rPr>
      </w:pPr>
      <w:r>
        <w:rPr>
          <w:rFonts w:hint="eastAsia" w:ascii="黑体" w:hAnsi="黑体" w:eastAsia="黑体" w:cs="黑体"/>
          <w:sz w:val="30"/>
          <w:szCs w:val="30"/>
        </w:rPr>
        <w:t>第二部分</w:t>
      </w:r>
      <w:r>
        <w:rPr>
          <w:rFonts w:ascii="黑体" w:hAnsi="黑体" w:eastAsia="黑体" w:cs="黑体"/>
          <w:sz w:val="30"/>
          <w:szCs w:val="30"/>
        </w:rPr>
        <w:t xml:space="preserve">  2020</w:t>
      </w:r>
      <w:r>
        <w:rPr>
          <w:rFonts w:hint="eastAsia" w:ascii="黑体" w:hAnsi="黑体" w:eastAsia="黑体" w:cs="黑体"/>
          <w:sz w:val="30"/>
          <w:szCs w:val="30"/>
        </w:rPr>
        <w:t>年度部门决算表</w:t>
      </w:r>
    </w:p>
    <w:p>
      <w:pPr>
        <w:spacing w:line="590" w:lineRule="exact"/>
        <w:jc w:val="left"/>
        <w:rPr>
          <w:rFonts w:eastAsia="Times New Roman"/>
          <w:sz w:val="30"/>
          <w:szCs w:val="30"/>
        </w:rPr>
      </w:pPr>
      <w:r>
        <w:rPr>
          <w:rFonts w:hint="eastAsia" w:ascii="楷体" w:hAnsi="楷体" w:eastAsia="楷体" w:cs="楷体"/>
          <w:sz w:val="30"/>
          <w:szCs w:val="30"/>
        </w:rPr>
        <w:t>一、收入支出决算总表</w:t>
      </w:r>
    </w:p>
    <w:p>
      <w:pPr>
        <w:spacing w:line="590" w:lineRule="exact"/>
        <w:jc w:val="left"/>
        <w:rPr>
          <w:rFonts w:eastAsia="Times New Roman"/>
          <w:sz w:val="30"/>
          <w:szCs w:val="30"/>
        </w:rPr>
      </w:pPr>
      <w:r>
        <w:rPr>
          <w:rFonts w:hint="eastAsia" w:ascii="楷体" w:hAnsi="楷体" w:eastAsia="楷体" w:cs="楷体"/>
          <w:sz w:val="30"/>
          <w:szCs w:val="30"/>
        </w:rPr>
        <w:t>二、收入决算表</w:t>
      </w:r>
    </w:p>
    <w:p>
      <w:pPr>
        <w:spacing w:line="590" w:lineRule="exact"/>
        <w:jc w:val="left"/>
        <w:rPr>
          <w:rFonts w:eastAsia="Times New Roman"/>
          <w:sz w:val="30"/>
          <w:szCs w:val="30"/>
        </w:rPr>
      </w:pPr>
      <w:r>
        <w:rPr>
          <w:rFonts w:hint="eastAsia" w:ascii="楷体" w:hAnsi="楷体" w:eastAsia="楷体" w:cs="楷体"/>
          <w:sz w:val="30"/>
          <w:szCs w:val="30"/>
        </w:rPr>
        <w:t>三、支出决算表</w:t>
      </w:r>
    </w:p>
    <w:p>
      <w:pPr>
        <w:spacing w:line="590" w:lineRule="exact"/>
        <w:jc w:val="left"/>
        <w:rPr>
          <w:rFonts w:eastAsia="Times New Roman"/>
          <w:sz w:val="30"/>
          <w:szCs w:val="30"/>
        </w:rPr>
      </w:pPr>
      <w:r>
        <w:rPr>
          <w:rFonts w:hint="eastAsia" w:ascii="楷体" w:hAnsi="楷体" w:eastAsia="楷体" w:cs="楷体"/>
          <w:sz w:val="30"/>
          <w:szCs w:val="30"/>
        </w:rPr>
        <w:t>四、财政拨款收入支出决算总表</w:t>
      </w:r>
    </w:p>
    <w:p>
      <w:pPr>
        <w:spacing w:line="590" w:lineRule="exact"/>
        <w:jc w:val="left"/>
        <w:rPr>
          <w:rFonts w:eastAsia="Times New Roman"/>
          <w:sz w:val="30"/>
          <w:szCs w:val="30"/>
        </w:rPr>
      </w:pPr>
      <w:r>
        <w:rPr>
          <w:rFonts w:hint="eastAsia" w:ascii="楷体" w:hAnsi="楷体" w:eastAsia="楷体" w:cs="楷体"/>
          <w:sz w:val="30"/>
          <w:szCs w:val="30"/>
        </w:rPr>
        <w:t>五、一般公共预算财政拨款收入支出决算表</w:t>
      </w:r>
    </w:p>
    <w:p>
      <w:pPr>
        <w:spacing w:line="590" w:lineRule="exact"/>
        <w:jc w:val="left"/>
        <w:rPr>
          <w:rFonts w:eastAsia="Times New Roman"/>
          <w:sz w:val="30"/>
          <w:szCs w:val="30"/>
        </w:rPr>
      </w:pPr>
      <w:r>
        <w:rPr>
          <w:rFonts w:hint="eastAsia" w:ascii="楷体" w:hAnsi="楷体" w:eastAsia="楷体" w:cs="楷体"/>
          <w:sz w:val="30"/>
          <w:szCs w:val="30"/>
        </w:rPr>
        <w:t>六、一般公共预算财政拨款基本支出决算表</w:t>
      </w:r>
    </w:p>
    <w:p>
      <w:pPr>
        <w:spacing w:line="590" w:lineRule="exact"/>
        <w:jc w:val="left"/>
        <w:rPr>
          <w:rFonts w:ascii="楷体" w:hAnsi="楷体" w:eastAsia="楷体" w:cs="楷体"/>
          <w:sz w:val="30"/>
          <w:szCs w:val="30"/>
        </w:rPr>
      </w:pPr>
      <w:r>
        <w:rPr>
          <w:rFonts w:hint="eastAsia" w:ascii="楷体" w:hAnsi="楷体" w:eastAsia="楷体" w:cs="楷体"/>
          <w:sz w:val="30"/>
          <w:szCs w:val="30"/>
        </w:rPr>
        <w:t>七、政府性基金预算财政拨款收入支出决算表</w:t>
      </w:r>
    </w:p>
    <w:p>
      <w:pPr>
        <w:spacing w:line="590" w:lineRule="exact"/>
        <w:jc w:val="left"/>
        <w:rPr>
          <w:rFonts w:eastAsia="Times New Roman"/>
          <w:sz w:val="30"/>
          <w:szCs w:val="30"/>
        </w:rPr>
      </w:pPr>
      <w:r>
        <w:rPr>
          <w:rFonts w:hint="eastAsia" w:ascii="楷体" w:hAnsi="楷体" w:eastAsia="楷体" w:cs="楷体"/>
          <w:sz w:val="30"/>
          <w:szCs w:val="30"/>
        </w:rPr>
        <w:t>八、国有资本经营预算财政拨款收入支出决算表</w:t>
      </w:r>
    </w:p>
    <w:p>
      <w:pPr>
        <w:spacing w:line="590" w:lineRule="exact"/>
        <w:jc w:val="left"/>
        <w:rPr>
          <w:rFonts w:eastAsia="Times New Roman"/>
          <w:sz w:val="30"/>
          <w:szCs w:val="30"/>
        </w:rPr>
      </w:pPr>
      <w:r>
        <w:rPr>
          <w:rFonts w:hint="eastAsia" w:ascii="楷体" w:hAnsi="楷体" w:eastAsia="楷体" w:cs="楷体"/>
          <w:sz w:val="30"/>
          <w:szCs w:val="30"/>
        </w:rPr>
        <w:t>九、“三公”经费、行政参公单位机关运行经费情况表</w:t>
      </w:r>
    </w:p>
    <w:p>
      <w:pPr>
        <w:spacing w:line="590" w:lineRule="exact"/>
        <w:jc w:val="left"/>
        <w:rPr>
          <w:rFonts w:eastAsia="Times New Roman"/>
          <w:sz w:val="30"/>
          <w:szCs w:val="30"/>
        </w:rPr>
      </w:pPr>
      <w:r>
        <w:rPr>
          <w:rFonts w:hint="eastAsia" w:ascii="黑体" w:hAnsi="黑体" w:eastAsia="黑体" w:cs="黑体"/>
          <w:sz w:val="30"/>
          <w:szCs w:val="30"/>
        </w:rPr>
        <w:t>第三部分</w:t>
      </w:r>
      <w:r>
        <w:rPr>
          <w:rFonts w:ascii="黑体" w:hAnsi="黑体" w:eastAsia="黑体" w:cs="黑体"/>
          <w:sz w:val="30"/>
          <w:szCs w:val="30"/>
        </w:rPr>
        <w:t xml:space="preserve">  2020</w:t>
      </w:r>
      <w:r>
        <w:rPr>
          <w:rFonts w:hint="eastAsia" w:ascii="黑体" w:hAnsi="黑体" w:eastAsia="黑体" w:cs="黑体"/>
          <w:sz w:val="30"/>
          <w:szCs w:val="30"/>
        </w:rPr>
        <w:t>年度部门决算情况说明</w:t>
      </w:r>
    </w:p>
    <w:p>
      <w:pPr>
        <w:spacing w:line="590" w:lineRule="exact"/>
        <w:jc w:val="left"/>
        <w:rPr>
          <w:rFonts w:eastAsia="Times New Roman"/>
          <w:sz w:val="30"/>
          <w:szCs w:val="30"/>
        </w:rPr>
      </w:pPr>
      <w:r>
        <w:rPr>
          <w:rFonts w:hint="eastAsia" w:ascii="楷体" w:hAnsi="楷体" w:eastAsia="楷体" w:cs="楷体"/>
          <w:sz w:val="30"/>
          <w:szCs w:val="30"/>
        </w:rPr>
        <w:t>一、收入决算情况说明</w:t>
      </w:r>
    </w:p>
    <w:p>
      <w:pPr>
        <w:spacing w:line="590" w:lineRule="exact"/>
        <w:jc w:val="left"/>
        <w:rPr>
          <w:rFonts w:eastAsia="Times New Roman"/>
          <w:sz w:val="30"/>
          <w:szCs w:val="30"/>
        </w:rPr>
      </w:pPr>
      <w:r>
        <w:rPr>
          <w:rFonts w:hint="eastAsia" w:ascii="楷体" w:hAnsi="楷体" w:eastAsia="楷体" w:cs="楷体"/>
          <w:sz w:val="30"/>
          <w:szCs w:val="30"/>
        </w:rPr>
        <w:t>二、支出决算情况说明</w:t>
      </w:r>
    </w:p>
    <w:p>
      <w:pPr>
        <w:spacing w:line="590" w:lineRule="exact"/>
        <w:jc w:val="left"/>
        <w:rPr>
          <w:rFonts w:eastAsia="Times New Roman"/>
          <w:sz w:val="30"/>
          <w:szCs w:val="30"/>
        </w:rPr>
      </w:pPr>
      <w:r>
        <w:rPr>
          <w:rFonts w:hint="eastAsia" w:ascii="楷体" w:hAnsi="楷体" w:eastAsia="楷体" w:cs="楷体"/>
          <w:sz w:val="30"/>
          <w:szCs w:val="30"/>
        </w:rPr>
        <w:t>三、一般公共预算财政拨款支出决算情况说明</w:t>
      </w:r>
    </w:p>
    <w:p>
      <w:pPr>
        <w:spacing w:line="590" w:lineRule="exact"/>
        <w:jc w:val="left"/>
        <w:rPr>
          <w:rFonts w:eastAsia="Times New Roman"/>
          <w:sz w:val="30"/>
          <w:szCs w:val="30"/>
        </w:rPr>
      </w:pPr>
      <w:r>
        <w:rPr>
          <w:rFonts w:hint="eastAsia" w:ascii="楷体" w:hAnsi="楷体" w:eastAsia="楷体" w:cs="楷体"/>
          <w:sz w:val="30"/>
          <w:szCs w:val="30"/>
        </w:rPr>
        <w:t>四、一般公共预算财政拨款“三公”经费支出决算情况说明</w:t>
      </w:r>
    </w:p>
    <w:p>
      <w:pPr>
        <w:spacing w:line="590" w:lineRule="exact"/>
        <w:jc w:val="left"/>
        <w:rPr>
          <w:rFonts w:eastAsia="Times New Roman"/>
          <w:sz w:val="30"/>
          <w:szCs w:val="30"/>
        </w:rPr>
      </w:pPr>
      <w:r>
        <w:rPr>
          <w:rFonts w:hint="eastAsia" w:ascii="黑体" w:hAnsi="黑体" w:eastAsia="黑体" w:cs="黑体"/>
          <w:sz w:val="30"/>
          <w:szCs w:val="30"/>
        </w:rPr>
        <w:t>第四部分</w:t>
      </w:r>
      <w:r>
        <w:rPr>
          <w:rFonts w:ascii="黑体" w:hAnsi="黑体" w:eastAsia="黑体" w:cs="黑体"/>
          <w:sz w:val="30"/>
          <w:szCs w:val="30"/>
        </w:rPr>
        <w:t xml:space="preserve">  </w:t>
      </w:r>
      <w:r>
        <w:rPr>
          <w:rFonts w:hint="eastAsia" w:ascii="黑体" w:hAnsi="黑体" w:eastAsia="黑体" w:cs="黑体"/>
          <w:sz w:val="30"/>
          <w:szCs w:val="30"/>
        </w:rPr>
        <w:t>其他重要事项及相关口径情况说明</w:t>
      </w:r>
    </w:p>
    <w:p>
      <w:pPr>
        <w:spacing w:line="590" w:lineRule="exact"/>
        <w:jc w:val="left"/>
        <w:rPr>
          <w:rFonts w:eastAsia="Times New Roman"/>
          <w:sz w:val="30"/>
          <w:szCs w:val="30"/>
        </w:rPr>
      </w:pPr>
      <w:r>
        <w:rPr>
          <w:rFonts w:hint="eastAsia" w:ascii="楷体" w:hAnsi="楷体" w:eastAsia="楷体" w:cs="楷体"/>
          <w:sz w:val="30"/>
          <w:szCs w:val="30"/>
        </w:rPr>
        <w:t>一、机关运行经费支出情况</w:t>
      </w:r>
    </w:p>
    <w:p>
      <w:pPr>
        <w:spacing w:line="590" w:lineRule="exact"/>
        <w:jc w:val="left"/>
        <w:rPr>
          <w:rFonts w:eastAsia="Times New Roman"/>
          <w:sz w:val="30"/>
          <w:szCs w:val="30"/>
        </w:rPr>
      </w:pPr>
      <w:r>
        <w:rPr>
          <w:rFonts w:hint="eastAsia" w:ascii="楷体" w:hAnsi="楷体" w:eastAsia="楷体" w:cs="楷体"/>
          <w:sz w:val="30"/>
          <w:szCs w:val="30"/>
        </w:rPr>
        <w:t>二、国有资产占用情况</w:t>
      </w:r>
    </w:p>
    <w:p>
      <w:pPr>
        <w:spacing w:line="590" w:lineRule="exact"/>
        <w:jc w:val="left"/>
        <w:rPr>
          <w:rFonts w:eastAsia="Times New Roman"/>
          <w:sz w:val="30"/>
          <w:szCs w:val="30"/>
        </w:rPr>
      </w:pPr>
      <w:r>
        <w:rPr>
          <w:rFonts w:hint="eastAsia" w:ascii="楷体" w:hAnsi="楷体" w:eastAsia="楷体" w:cs="楷体"/>
          <w:sz w:val="30"/>
          <w:szCs w:val="30"/>
        </w:rPr>
        <w:t>三、政府采购支出情况</w:t>
      </w:r>
    </w:p>
    <w:p>
      <w:pPr>
        <w:spacing w:line="590" w:lineRule="exact"/>
        <w:jc w:val="left"/>
        <w:rPr>
          <w:rFonts w:eastAsia="Times New Roman"/>
          <w:sz w:val="30"/>
          <w:szCs w:val="30"/>
        </w:rPr>
      </w:pPr>
      <w:r>
        <w:rPr>
          <w:rFonts w:hint="eastAsia" w:ascii="楷体" w:hAnsi="楷体" w:eastAsia="楷体" w:cs="楷体"/>
          <w:sz w:val="30"/>
          <w:szCs w:val="30"/>
        </w:rPr>
        <w:t>四、部门绩效自评情况</w:t>
      </w:r>
    </w:p>
    <w:p>
      <w:pPr>
        <w:spacing w:line="590" w:lineRule="exact"/>
        <w:jc w:val="left"/>
        <w:rPr>
          <w:rFonts w:eastAsia="Times New Roman"/>
          <w:sz w:val="30"/>
          <w:szCs w:val="30"/>
        </w:rPr>
      </w:pPr>
      <w:r>
        <w:rPr>
          <w:rFonts w:hint="eastAsia" w:ascii="楷体" w:hAnsi="楷体" w:eastAsia="楷体" w:cs="楷体"/>
          <w:sz w:val="30"/>
          <w:szCs w:val="30"/>
        </w:rPr>
        <w:t>（一）部门整体支出绩效自评情况</w:t>
      </w:r>
    </w:p>
    <w:p>
      <w:pPr>
        <w:spacing w:line="590" w:lineRule="exact"/>
        <w:jc w:val="left"/>
        <w:rPr>
          <w:rFonts w:eastAsia="Times New Roman"/>
          <w:sz w:val="30"/>
          <w:szCs w:val="30"/>
        </w:rPr>
      </w:pPr>
      <w:r>
        <w:rPr>
          <w:rFonts w:hint="eastAsia" w:ascii="楷体" w:hAnsi="楷体" w:eastAsia="楷体" w:cs="楷体"/>
          <w:sz w:val="30"/>
          <w:szCs w:val="30"/>
        </w:rPr>
        <w:t>（二）部门整体支出绩效自评表</w:t>
      </w:r>
    </w:p>
    <w:p>
      <w:pPr>
        <w:spacing w:line="590" w:lineRule="exact"/>
        <w:jc w:val="left"/>
        <w:rPr>
          <w:rFonts w:eastAsia="Times New Roman"/>
          <w:sz w:val="30"/>
          <w:szCs w:val="30"/>
        </w:rPr>
      </w:pPr>
      <w:r>
        <w:rPr>
          <w:rFonts w:hint="eastAsia" w:ascii="楷体" w:hAnsi="楷体" w:eastAsia="楷体" w:cs="楷体"/>
          <w:sz w:val="30"/>
          <w:szCs w:val="30"/>
        </w:rPr>
        <w:t>（三）项目支出绩效自评表</w:t>
      </w:r>
    </w:p>
    <w:p>
      <w:pPr>
        <w:spacing w:line="590" w:lineRule="exact"/>
        <w:jc w:val="left"/>
        <w:rPr>
          <w:rFonts w:eastAsia="Times New Roman"/>
          <w:sz w:val="30"/>
          <w:szCs w:val="30"/>
        </w:rPr>
      </w:pPr>
      <w:r>
        <w:rPr>
          <w:rFonts w:hint="eastAsia" w:ascii="楷体" w:hAnsi="楷体" w:eastAsia="楷体" w:cs="楷体"/>
          <w:sz w:val="30"/>
          <w:szCs w:val="30"/>
        </w:rPr>
        <w:t>五、其他重要事项情况说明</w:t>
      </w:r>
    </w:p>
    <w:p>
      <w:pPr>
        <w:spacing w:line="590" w:lineRule="exact"/>
        <w:jc w:val="left"/>
        <w:rPr>
          <w:rFonts w:eastAsia="Times New Roman"/>
          <w:sz w:val="30"/>
          <w:szCs w:val="30"/>
        </w:rPr>
      </w:pPr>
      <w:r>
        <w:rPr>
          <w:rFonts w:hint="eastAsia" w:ascii="黑体" w:hAnsi="黑体" w:eastAsia="黑体" w:cs="黑体"/>
          <w:sz w:val="30"/>
          <w:szCs w:val="30"/>
        </w:rPr>
        <w:t>第五部分</w:t>
      </w:r>
      <w:r>
        <w:rPr>
          <w:rFonts w:ascii="黑体" w:hAnsi="黑体" w:eastAsia="黑体" w:cs="黑体"/>
          <w:sz w:val="30"/>
          <w:szCs w:val="30"/>
        </w:rPr>
        <w:t xml:space="preserve">  </w:t>
      </w:r>
      <w:r>
        <w:rPr>
          <w:rFonts w:hint="eastAsia" w:ascii="黑体" w:hAnsi="黑体" w:eastAsia="黑体" w:cs="黑体"/>
          <w:sz w:val="30"/>
          <w:szCs w:val="30"/>
        </w:rPr>
        <w:t>名词解释</w:t>
      </w:r>
    </w:p>
    <w:p>
      <w:pPr>
        <w:spacing w:line="600" w:lineRule="exact"/>
        <w:jc w:val="left"/>
        <w:rPr>
          <w:rFonts w:eastAsia="Times New Roman"/>
          <w:sz w:val="30"/>
          <w:szCs w:val="30"/>
        </w:rPr>
      </w:pPr>
    </w:p>
    <w:p>
      <w:pPr>
        <w:spacing w:line="600" w:lineRule="exact"/>
        <w:jc w:val="left"/>
        <w:rPr>
          <w:rFonts w:eastAsia="Times New Roman"/>
          <w:sz w:val="30"/>
          <w:szCs w:val="30"/>
        </w:rPr>
      </w:pPr>
    </w:p>
    <w:p>
      <w:pPr>
        <w:spacing w:line="600" w:lineRule="exact"/>
        <w:jc w:val="left"/>
        <w:rPr>
          <w:rFonts w:eastAsia="Times New Roman"/>
          <w:sz w:val="30"/>
          <w:szCs w:val="30"/>
        </w:rPr>
      </w:pPr>
    </w:p>
    <w:p>
      <w:pPr>
        <w:spacing w:line="600" w:lineRule="exact"/>
        <w:jc w:val="left"/>
        <w:rPr>
          <w:rFonts w:eastAsia="Times New Roman"/>
          <w:sz w:val="30"/>
          <w:szCs w:val="30"/>
        </w:rPr>
      </w:pPr>
    </w:p>
    <w:p>
      <w:pPr>
        <w:spacing w:line="590" w:lineRule="exact"/>
        <w:jc w:val="center"/>
        <w:rPr>
          <w:rFonts w:eastAsia="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云南省第四监狱概况</w:t>
      </w:r>
    </w:p>
    <w:p>
      <w:pPr>
        <w:spacing w:line="590" w:lineRule="exact"/>
        <w:ind w:firstLine="600"/>
        <w:rPr>
          <w:rFonts w:eastAsia="Times New Roman"/>
          <w:sz w:val="30"/>
          <w:szCs w:val="30"/>
        </w:rPr>
      </w:pPr>
      <w:r>
        <w:rPr>
          <w:rFonts w:hint="eastAsia" w:ascii="黑体" w:hAnsi="黑体" w:eastAsia="黑体" w:cs="黑体"/>
          <w:sz w:val="30"/>
          <w:szCs w:val="30"/>
        </w:rPr>
        <w:t>一、主要职能</w:t>
      </w:r>
    </w:p>
    <w:p>
      <w:pPr>
        <w:spacing w:line="590" w:lineRule="exact"/>
        <w:ind w:firstLine="600"/>
        <w:rPr>
          <w:rFonts w:eastAsia="Times New Roman"/>
          <w:sz w:val="30"/>
          <w:szCs w:val="30"/>
        </w:rPr>
      </w:pPr>
      <w:r>
        <w:rPr>
          <w:rFonts w:hint="eastAsia" w:ascii="楷体" w:hAnsi="楷体" w:eastAsia="楷体" w:cs="楷体"/>
          <w:sz w:val="30"/>
          <w:szCs w:val="30"/>
        </w:rPr>
        <w:t>（一）主要职能</w:t>
      </w:r>
    </w:p>
    <w:p>
      <w:pPr>
        <w:spacing w:line="590" w:lineRule="exact"/>
        <w:ind w:firstLine="600"/>
        <w:rPr>
          <w:rFonts w:eastAsia="Times New Roman"/>
          <w:sz w:val="30"/>
          <w:szCs w:val="30"/>
        </w:rPr>
      </w:pPr>
      <w:r>
        <w:rPr>
          <w:rFonts w:hint="eastAsia" w:ascii="仿宋_GB2312" w:hAnsi="仿宋_GB2312" w:eastAsia="仿宋_GB2312" w:cs="仿宋_GB2312"/>
          <w:sz w:val="32"/>
          <w:szCs w:val="32"/>
        </w:rPr>
        <w:t>云南省第四监狱</w:t>
      </w:r>
      <w:r>
        <w:rPr>
          <w:rFonts w:ascii="仿宋_GB2312" w:hAnsi="仿宋_GB2312" w:eastAsia="仿宋_GB2312" w:cs="仿宋_GB2312"/>
          <w:sz w:val="32"/>
          <w:szCs w:val="32"/>
        </w:rPr>
        <w:t>1996</w:t>
      </w:r>
      <w:r>
        <w:rPr>
          <w:rFonts w:hint="eastAsia" w:ascii="仿宋_GB2312" w:hAnsi="仿宋_GB2312" w:eastAsia="仿宋_GB2312" w:cs="仿宋_GB2312"/>
          <w:sz w:val="32"/>
          <w:szCs w:val="32"/>
        </w:rPr>
        <w:t>年建成，是国家的刑罚执行机关。认真贯彻执行《中华人民共和国监狱法》和执行“惩罚和改造相结合，以改造人为宗旨”的监狱工作方针，坚持以维护国家安全和社会稳定为首要任务，以提高教育改造质量为中心工作，依法管理和教育罪犯，组织罪犯劳动改造和接受技能培训，对罪犯进行政治教育、思想教育、文化教育，通过确保场所安全稳定、提高罪犯改造质量，为社会安全稳定大局服务。</w:t>
      </w:r>
    </w:p>
    <w:p>
      <w:pPr>
        <w:spacing w:line="590" w:lineRule="exact"/>
        <w:ind w:firstLine="600"/>
        <w:rPr>
          <w:rFonts w:eastAsia="Times New Roman"/>
          <w:sz w:val="30"/>
          <w:szCs w:val="30"/>
        </w:rPr>
      </w:pPr>
      <w:r>
        <w:rPr>
          <w:rFonts w:hint="eastAsia" w:ascii="楷体" w:hAnsi="楷体" w:eastAsia="楷体" w:cs="楷体"/>
          <w:sz w:val="30"/>
          <w:szCs w:val="30"/>
        </w:rPr>
        <w:t>（二）</w:t>
      </w:r>
      <w:r>
        <w:rPr>
          <w:rFonts w:ascii="楷体" w:hAnsi="楷体" w:eastAsia="楷体" w:cs="楷体"/>
          <w:sz w:val="30"/>
          <w:szCs w:val="30"/>
        </w:rPr>
        <w:t>2020</w:t>
      </w:r>
      <w:r>
        <w:rPr>
          <w:rFonts w:hint="eastAsia" w:ascii="楷体" w:hAnsi="楷体" w:eastAsia="楷体" w:cs="楷体"/>
          <w:sz w:val="30"/>
          <w:szCs w:val="30"/>
        </w:rPr>
        <w:t>年度重点工作任务介绍</w:t>
      </w:r>
    </w:p>
    <w:p>
      <w:pPr>
        <w:topLinePunct/>
        <w:snapToGrid w:val="0"/>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shd w:val="clear" w:color="auto" w:fill="FFFFFF"/>
        </w:rPr>
        <w:t>云南省第四监狱重点工作任务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略（因工作任务涉密，不予公开</w:t>
      </w:r>
      <w:r>
        <w:rPr>
          <w:rFonts w:ascii="仿宋_GB2312" w:hAnsi="仿宋_GB2312" w:eastAsia="仿宋_GB2312" w:cs="仿宋_GB2312"/>
          <w:sz w:val="32"/>
          <w:szCs w:val="32"/>
          <w:shd w:val="clear" w:color="auto" w:fill="FFFFFF"/>
        </w:rPr>
        <w:t>)</w:t>
      </w:r>
    </w:p>
    <w:p>
      <w:pPr>
        <w:spacing w:line="590" w:lineRule="exact"/>
        <w:ind w:firstLine="600"/>
        <w:rPr>
          <w:rFonts w:eastAsia="Times New Roman"/>
          <w:sz w:val="30"/>
          <w:szCs w:val="30"/>
        </w:rPr>
      </w:pPr>
    </w:p>
    <w:p>
      <w:pPr>
        <w:spacing w:line="590" w:lineRule="exact"/>
        <w:ind w:firstLine="600"/>
        <w:rPr>
          <w:rFonts w:eastAsia="Times New Roman"/>
          <w:sz w:val="30"/>
          <w:szCs w:val="30"/>
        </w:rPr>
      </w:pPr>
      <w:r>
        <w:rPr>
          <w:rFonts w:hint="eastAsia" w:ascii="黑体" w:hAnsi="黑体" w:eastAsia="黑体" w:cs="黑体"/>
          <w:sz w:val="30"/>
          <w:szCs w:val="30"/>
        </w:rPr>
        <w:t>二、部门基本情况</w:t>
      </w:r>
    </w:p>
    <w:p>
      <w:pPr>
        <w:spacing w:line="590" w:lineRule="exact"/>
        <w:ind w:firstLine="600"/>
        <w:rPr>
          <w:rFonts w:eastAsia="Times New Roman"/>
          <w:sz w:val="30"/>
          <w:szCs w:val="30"/>
        </w:rPr>
      </w:pPr>
      <w:r>
        <w:rPr>
          <w:rFonts w:hint="eastAsia" w:ascii="楷体" w:hAnsi="楷体" w:eastAsia="楷体" w:cs="楷体"/>
          <w:sz w:val="30"/>
          <w:szCs w:val="30"/>
        </w:rPr>
        <w:t>（一）部门决算单位构成</w:t>
      </w:r>
    </w:p>
    <w:p>
      <w:pPr>
        <w:topLinePunct/>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云南省第四监狱</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年度部门决算编报的单位共</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个，其中：行政单位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w:t>
      </w:r>
    </w:p>
    <w:p>
      <w:pPr>
        <w:spacing w:line="590" w:lineRule="exact"/>
        <w:ind w:firstLine="600"/>
        <w:rPr>
          <w:rFonts w:ascii="楷体" w:hAnsi="楷体" w:eastAsia="楷体" w:cs="楷体"/>
          <w:sz w:val="30"/>
          <w:szCs w:val="30"/>
        </w:rPr>
      </w:pPr>
      <w:r>
        <w:rPr>
          <w:rFonts w:hint="eastAsia" w:ascii="楷体" w:hAnsi="楷体" w:eastAsia="楷体" w:cs="楷体"/>
          <w:sz w:val="30"/>
          <w:szCs w:val="30"/>
        </w:rPr>
        <w:t>（二）部门人员和车辆的编制及实有情况</w:t>
      </w:r>
    </w:p>
    <w:p>
      <w:pPr>
        <w:widowControl w:val="0"/>
        <w:topLinePunct/>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根据《云南省国家保密局关于对云南省监狱管理局部门决算相关事项密级确认的复函》（云保局函</w:t>
      </w:r>
      <w:r>
        <w:rPr>
          <w:rFonts w:ascii="仿宋_GB2312" w:hAnsi="仿宋_GB2312" w:eastAsia="仿宋_GB2312" w:cs="仿宋_GB2312"/>
          <w:sz w:val="32"/>
          <w:szCs w:val="32"/>
        </w:rPr>
        <w:t>[2016]75</w:t>
      </w:r>
      <w:r>
        <w:rPr>
          <w:rFonts w:hint="eastAsia" w:ascii="仿宋_GB2312" w:hAnsi="仿宋_GB2312" w:eastAsia="仿宋_GB2312" w:cs="仿宋_GB2312"/>
          <w:sz w:val="32"/>
          <w:szCs w:val="32"/>
        </w:rPr>
        <w:t>号），监狱系统人员及车辆编制等情况因属涉密内容，不予公开。</w:t>
      </w:r>
    </w:p>
    <w:p>
      <w:pPr>
        <w:spacing w:line="590" w:lineRule="exact"/>
        <w:jc w:val="center"/>
        <w:rPr>
          <w:rFonts w:ascii="黑体" w:hAnsi="黑体" w:eastAsia="黑体" w:cs="黑体"/>
          <w:sz w:val="32"/>
          <w:szCs w:val="32"/>
        </w:rPr>
      </w:pPr>
    </w:p>
    <w:p>
      <w:pPr>
        <w:spacing w:line="590" w:lineRule="exact"/>
        <w:jc w:val="center"/>
        <w:rPr>
          <w:rFonts w:eastAsia="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2020</w:t>
      </w:r>
      <w:r>
        <w:rPr>
          <w:rFonts w:hint="eastAsia" w:ascii="黑体" w:hAnsi="黑体" w:eastAsia="黑体" w:cs="黑体"/>
          <w:sz w:val="32"/>
          <w:szCs w:val="32"/>
        </w:rPr>
        <w:t>年度部门决算表</w:t>
      </w:r>
    </w:p>
    <w:p>
      <w:pPr>
        <w:spacing w:line="590" w:lineRule="exact"/>
        <w:ind w:firstLine="600"/>
        <w:jc w:val="center"/>
        <w:rPr>
          <w:rFonts w:eastAsia="Times New Roman"/>
          <w:sz w:val="30"/>
          <w:szCs w:val="30"/>
        </w:rPr>
      </w:pPr>
      <w:r>
        <w:rPr>
          <w:rFonts w:hint="eastAsia" w:ascii="仿宋" w:hAnsi="仿宋" w:eastAsia="仿宋" w:cs="仿宋"/>
          <w:sz w:val="30"/>
          <w:szCs w:val="30"/>
        </w:rPr>
        <w:t>（详见附件）</w:t>
      </w:r>
    </w:p>
    <w:p>
      <w:pPr>
        <w:shd w:val="clear" w:color="auto" w:fill="FFFFFF"/>
        <w:spacing w:line="540" w:lineRule="atLeast"/>
        <w:ind w:firstLine="600"/>
        <w:rPr>
          <w:rFonts w:ascii="仿宋_GB2312" w:hAnsi="Segoe UI" w:eastAsia="仿宋_GB2312" w:cs="Segoe UI"/>
          <w:color w:val="212529"/>
          <w:sz w:val="32"/>
          <w:szCs w:val="32"/>
        </w:rPr>
      </w:pPr>
      <w:r>
        <w:rPr>
          <w:rFonts w:hint="eastAsia" w:ascii="仿宋_GB2312" w:hAnsi="仿宋" w:eastAsia="仿宋_GB2312" w:cs="Segoe UI"/>
          <w:color w:val="212529"/>
          <w:sz w:val="32"/>
          <w:szCs w:val="32"/>
        </w:rPr>
        <w:t>云南省第四监狱没有国有资本经营预算财政拨款收入，也没有使用国有资本经营预算财政拨款收入安排的支出，故《国有资本经营预算财政拨款收入支出决算表》无数据。</w:t>
      </w:r>
    </w:p>
    <w:p>
      <w:pPr>
        <w:spacing w:line="590" w:lineRule="exact"/>
        <w:ind w:firstLine="600"/>
        <w:jc w:val="center"/>
        <w:rPr>
          <w:rFonts w:eastAsia="Times New Roman"/>
          <w:sz w:val="30"/>
          <w:szCs w:val="30"/>
        </w:rPr>
      </w:pPr>
    </w:p>
    <w:p>
      <w:pPr>
        <w:spacing w:line="590" w:lineRule="exact"/>
        <w:jc w:val="center"/>
        <w:rPr>
          <w:rFonts w:eastAsia="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2020</w:t>
      </w:r>
      <w:r>
        <w:rPr>
          <w:rFonts w:hint="eastAsia" w:ascii="黑体" w:hAnsi="黑体" w:eastAsia="黑体" w:cs="黑体"/>
          <w:sz w:val="32"/>
          <w:szCs w:val="32"/>
        </w:rPr>
        <w:t>年度部门决算情况说明</w:t>
      </w:r>
    </w:p>
    <w:p>
      <w:pPr>
        <w:spacing w:line="590" w:lineRule="exact"/>
        <w:ind w:firstLine="600"/>
        <w:jc w:val="left"/>
        <w:rPr>
          <w:rFonts w:eastAsia="Times New Roman"/>
          <w:sz w:val="30"/>
          <w:szCs w:val="30"/>
        </w:rPr>
      </w:pPr>
      <w:r>
        <w:rPr>
          <w:rFonts w:hint="eastAsia" w:ascii="黑体" w:hAnsi="黑体" w:eastAsia="黑体" w:cs="黑体"/>
          <w:sz w:val="30"/>
          <w:szCs w:val="30"/>
        </w:rPr>
        <w:t>一、收入决算情况说明</w:t>
      </w:r>
    </w:p>
    <w:p>
      <w:pPr>
        <w:topLinePunct/>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云南省第四监狱</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年度收入合计</w:t>
      </w:r>
      <w:r>
        <w:rPr>
          <w:rFonts w:ascii="仿宋_GB2312" w:hAnsi="仿宋" w:eastAsia="仿宋_GB2312" w:cs="仿宋_GB2312"/>
          <w:sz w:val="32"/>
          <w:szCs w:val="32"/>
        </w:rPr>
        <w:t>32707.72</w:t>
      </w:r>
      <w:r>
        <w:rPr>
          <w:rFonts w:hint="eastAsia" w:ascii="仿宋_GB2312" w:hAnsi="仿宋_GB2312" w:eastAsia="仿宋_GB2312" w:cs="仿宋_GB2312"/>
          <w:sz w:val="32"/>
          <w:szCs w:val="32"/>
        </w:rPr>
        <w:t>万元。其中：财政拨款收入</w:t>
      </w:r>
      <w:r>
        <w:rPr>
          <w:rFonts w:ascii="仿宋_GB2312" w:hAnsi="仿宋" w:eastAsia="仿宋_GB2312" w:cs="仿宋_GB2312"/>
          <w:sz w:val="32"/>
          <w:szCs w:val="32"/>
        </w:rPr>
        <w:t>32540.34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占总收入的</w:t>
      </w:r>
      <w:r>
        <w:rPr>
          <w:rFonts w:ascii="仿宋_GB2312" w:hAnsi="仿宋" w:eastAsia="仿宋_GB2312" w:cs="仿宋_GB2312"/>
          <w:sz w:val="32"/>
          <w:szCs w:val="32"/>
        </w:rPr>
        <w:t>99.49%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其他收入</w:t>
      </w:r>
      <w:r>
        <w:rPr>
          <w:rFonts w:ascii="仿宋_GB2312" w:hAnsi="仿宋" w:eastAsia="仿宋_GB2312" w:cs="仿宋_GB2312"/>
          <w:sz w:val="32"/>
          <w:szCs w:val="32"/>
        </w:rPr>
        <w:t>167.38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占总收入的</w:t>
      </w:r>
      <w:r>
        <w:rPr>
          <w:rFonts w:ascii="仿宋_GB2312" w:hAnsi="仿宋" w:eastAsia="仿宋_GB2312" w:cs="仿宋_GB2312"/>
          <w:sz w:val="32"/>
          <w:szCs w:val="32"/>
        </w:rPr>
        <w:t>0.51%</w:t>
      </w:r>
      <w:r>
        <w:rPr>
          <w:rFonts w:hint="eastAsia" w:ascii="仿宋_GB2312" w:hAnsi="仿宋_GB2312" w:eastAsia="仿宋_GB2312" w:cs="仿宋_GB2312"/>
          <w:sz w:val="32"/>
          <w:szCs w:val="32"/>
        </w:rPr>
        <w:t>。</w:t>
      </w:r>
    </w:p>
    <w:p>
      <w:pPr>
        <w:topLinePunct/>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收入按资金来源性质分：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年省级一般公共财政预算资金收入</w:t>
      </w:r>
      <w:r>
        <w:rPr>
          <w:rFonts w:ascii="仿宋_GB2312" w:hAnsi="仿宋" w:eastAsia="仿宋_GB2312" w:cs="仿宋_GB2312"/>
          <w:sz w:val="32"/>
          <w:szCs w:val="32"/>
        </w:rPr>
        <w:t>31821.79</w:t>
      </w:r>
      <w:r>
        <w:rPr>
          <w:rFonts w:hint="eastAsia" w:ascii="仿宋_GB2312" w:hAnsi="仿宋_GB2312" w:eastAsia="仿宋_GB2312" w:cs="仿宋_GB2312"/>
          <w:sz w:val="32"/>
          <w:szCs w:val="32"/>
        </w:rPr>
        <w:t>万元，占总收入</w:t>
      </w:r>
      <w:r>
        <w:rPr>
          <w:rFonts w:ascii="仿宋_GB2312" w:hAnsi="仿宋_GB2312" w:eastAsia="仿宋_GB2312" w:cs="仿宋_GB2312"/>
          <w:sz w:val="32"/>
          <w:szCs w:val="32"/>
        </w:rPr>
        <w:t>97.29%</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比上年</w:t>
      </w:r>
      <w:r>
        <w:rPr>
          <w:rFonts w:ascii="仿宋_GB2312" w:hAnsi="仿宋" w:eastAsia="仿宋_GB2312" w:cs="仿宋_GB2312"/>
          <w:sz w:val="32"/>
          <w:szCs w:val="32"/>
        </w:rPr>
        <w:t>20900.39</w:t>
      </w:r>
      <w:r>
        <w:rPr>
          <w:rFonts w:hint="eastAsia" w:ascii="仿宋_GB2312" w:hAnsi="仿宋" w:eastAsia="仿宋_GB2312" w:cs="仿宋_GB2312"/>
          <w:sz w:val="32"/>
          <w:szCs w:val="32"/>
        </w:rPr>
        <w:t>万元增加</w:t>
      </w:r>
      <w:r>
        <w:rPr>
          <w:rFonts w:ascii="仿宋_GB2312" w:hAnsi="仿宋" w:eastAsia="仿宋_GB2312" w:cs="仿宋_GB2312"/>
          <w:sz w:val="32"/>
          <w:szCs w:val="32"/>
        </w:rPr>
        <w:t>10921.4</w:t>
      </w:r>
      <w:r>
        <w:rPr>
          <w:rFonts w:hint="eastAsia" w:ascii="仿宋_GB2312" w:hAnsi="仿宋" w:eastAsia="仿宋_GB2312" w:cs="仿宋_GB2312"/>
          <w:sz w:val="32"/>
          <w:szCs w:val="32"/>
        </w:rPr>
        <w:t>万元，增幅</w:t>
      </w:r>
      <w:r>
        <w:rPr>
          <w:rFonts w:ascii="仿宋_GB2312" w:hAnsi="仿宋" w:eastAsia="仿宋_GB2312" w:cs="仿宋_GB2312"/>
          <w:sz w:val="32"/>
          <w:szCs w:val="32"/>
        </w:rPr>
        <w:t>52.25%</w:t>
      </w:r>
      <w:r>
        <w:rPr>
          <w:rFonts w:hint="eastAsia" w:ascii="仿宋_GB2312" w:hAnsi="仿宋" w:eastAsia="仿宋_GB2312" w:cs="仿宋_GB2312"/>
          <w:sz w:val="32"/>
          <w:szCs w:val="32"/>
        </w:rPr>
        <w:t>，</w:t>
      </w:r>
      <w:r>
        <w:rPr>
          <w:rFonts w:hint="eastAsia" w:ascii="仿宋_GB2312" w:hAnsi="仿宋" w:eastAsia="仿宋_GB2312" w:cs="Segoe UI"/>
          <w:color w:val="212529"/>
          <w:sz w:val="32"/>
          <w:szCs w:val="32"/>
        </w:rPr>
        <w:t>主要原因为监狱改扩建工程及</w:t>
      </w:r>
      <w:r>
        <w:rPr>
          <w:rFonts w:hint="eastAsia" w:ascii="仿宋_GB2312" w:hAnsi="仿宋" w:eastAsia="仿宋_GB2312" w:cs="仿宋"/>
          <w:color w:val="000000"/>
          <w:sz w:val="32"/>
          <w:szCs w:val="32"/>
        </w:rPr>
        <w:t>全国文明单位专项奖励</w:t>
      </w:r>
      <w:r>
        <w:rPr>
          <w:rFonts w:hint="eastAsia" w:ascii="仿宋_GB2312" w:hAnsi="仿宋_GB2312" w:eastAsia="仿宋_GB2312" w:cs="仿宋_GB2312"/>
          <w:sz w:val="32"/>
          <w:szCs w:val="32"/>
        </w:rPr>
        <w:t>；政府性基金财政拨款收入</w:t>
      </w:r>
      <w:r>
        <w:rPr>
          <w:rFonts w:ascii="仿宋_GB2312" w:hAnsi="仿宋" w:eastAsia="仿宋_GB2312" w:cs="仿宋_GB2312"/>
          <w:sz w:val="32"/>
          <w:szCs w:val="32"/>
        </w:rPr>
        <w:t>718.55</w:t>
      </w:r>
      <w:r>
        <w:rPr>
          <w:rFonts w:hint="eastAsia" w:ascii="仿宋_GB2312" w:hAnsi="仿宋_GB2312" w:eastAsia="仿宋_GB2312" w:cs="仿宋_GB2312"/>
          <w:sz w:val="32"/>
          <w:szCs w:val="32"/>
        </w:rPr>
        <w:t>万元，占总收入</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比上年</w:t>
      </w:r>
      <w:r>
        <w:rPr>
          <w:rFonts w:ascii="仿宋_GB2312" w:hAnsi="仿宋" w:eastAsia="仿宋_GB2312" w:cs="仿宋_GB2312"/>
          <w:sz w:val="32"/>
          <w:szCs w:val="32"/>
        </w:rPr>
        <w:t>607.76</w:t>
      </w:r>
      <w:r>
        <w:rPr>
          <w:rFonts w:hint="eastAsia" w:ascii="仿宋_GB2312" w:hAnsi="仿宋" w:eastAsia="仿宋_GB2312" w:cs="仿宋_GB2312"/>
          <w:sz w:val="32"/>
          <w:szCs w:val="32"/>
        </w:rPr>
        <w:t>万元增加</w:t>
      </w:r>
      <w:r>
        <w:rPr>
          <w:rFonts w:ascii="仿宋_GB2312" w:hAnsi="仿宋" w:eastAsia="仿宋_GB2312" w:cs="仿宋_GB2312"/>
          <w:sz w:val="32"/>
          <w:szCs w:val="32"/>
        </w:rPr>
        <w:t>110.79</w:t>
      </w:r>
      <w:r>
        <w:rPr>
          <w:rFonts w:hint="eastAsia" w:ascii="仿宋_GB2312" w:hAnsi="仿宋" w:eastAsia="仿宋_GB2312" w:cs="仿宋_GB2312"/>
          <w:sz w:val="32"/>
          <w:szCs w:val="32"/>
        </w:rPr>
        <w:t>万元，增幅</w:t>
      </w:r>
      <w:r>
        <w:rPr>
          <w:rFonts w:ascii="仿宋_GB2312" w:hAnsi="仿宋" w:eastAsia="仿宋_GB2312" w:cs="仿宋_GB2312"/>
          <w:sz w:val="32"/>
          <w:szCs w:val="32"/>
        </w:rPr>
        <w:t>18.23%</w:t>
      </w:r>
      <w:r>
        <w:rPr>
          <w:rFonts w:hint="eastAsia" w:ascii="仿宋_GB2312" w:hAnsi="仿宋" w:eastAsia="仿宋_GB2312" w:cs="仿宋_GB2312"/>
          <w:sz w:val="32"/>
          <w:szCs w:val="32"/>
        </w:rPr>
        <w:t>，主要原因为</w:t>
      </w:r>
      <w:r>
        <w:rPr>
          <w:rFonts w:hint="eastAsia" w:ascii="仿宋_GB2312" w:hAnsi="仿宋" w:eastAsia="仿宋_GB2312" w:cs="仿宋"/>
          <w:color w:val="000000"/>
          <w:sz w:val="32"/>
          <w:szCs w:val="32"/>
        </w:rPr>
        <w:t>“</w:t>
      </w:r>
      <w:r>
        <w:rPr>
          <w:rFonts w:hint="eastAsia" w:ascii="仿宋_GB2312" w:hAnsi="仿宋" w:eastAsia="仿宋_GB2312" w:cs="仿宋"/>
          <w:bCs/>
          <w:color w:val="000000"/>
          <w:sz w:val="32"/>
          <w:szCs w:val="32"/>
        </w:rPr>
        <w:t>新冠肺炎”疫情防控专项支出及监狱发展专项调整</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万元，占总收入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 w:eastAsia="仿宋_GB2312" w:cs="仿宋_GB2312"/>
          <w:sz w:val="32"/>
          <w:szCs w:val="32"/>
        </w:rPr>
        <w:t>167.38</w:t>
      </w:r>
      <w:r>
        <w:rPr>
          <w:rFonts w:hint="eastAsia" w:ascii="仿宋_GB2312" w:hAnsi="仿宋_GB2312" w:eastAsia="仿宋_GB2312" w:cs="仿宋_GB2312"/>
          <w:sz w:val="32"/>
          <w:szCs w:val="32"/>
        </w:rPr>
        <w:t>万元，占总收入</w:t>
      </w:r>
      <w:r>
        <w:rPr>
          <w:rFonts w:ascii="仿宋_GB2312" w:hAnsi="仿宋_GB2312" w:eastAsia="仿宋_GB2312" w:cs="仿宋_GB2312"/>
          <w:sz w:val="32"/>
          <w:szCs w:val="32"/>
        </w:rPr>
        <w:t>0.51%</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比上年</w:t>
      </w:r>
      <w:r>
        <w:rPr>
          <w:rFonts w:ascii="仿宋_GB2312" w:hAnsi="仿宋" w:eastAsia="仿宋_GB2312" w:cs="仿宋_GB2312"/>
          <w:sz w:val="32"/>
          <w:szCs w:val="32"/>
        </w:rPr>
        <w:t>251.99</w:t>
      </w:r>
      <w:r>
        <w:rPr>
          <w:rFonts w:hint="eastAsia" w:ascii="仿宋_GB2312" w:hAnsi="仿宋" w:eastAsia="仿宋_GB2312" w:cs="仿宋_GB2312"/>
          <w:sz w:val="32"/>
          <w:szCs w:val="32"/>
        </w:rPr>
        <w:t>万元减少</w:t>
      </w:r>
      <w:r>
        <w:rPr>
          <w:rFonts w:ascii="仿宋_GB2312" w:hAnsi="仿宋" w:eastAsia="仿宋_GB2312" w:cs="仿宋_GB2312"/>
          <w:sz w:val="32"/>
          <w:szCs w:val="32"/>
        </w:rPr>
        <w:t>84.61</w:t>
      </w:r>
      <w:r>
        <w:rPr>
          <w:rFonts w:hint="eastAsia" w:ascii="仿宋_GB2312" w:hAnsi="仿宋" w:eastAsia="仿宋_GB2312" w:cs="仿宋_GB2312"/>
          <w:sz w:val="32"/>
          <w:szCs w:val="32"/>
        </w:rPr>
        <w:t>万元，减幅</w:t>
      </w:r>
      <w:r>
        <w:rPr>
          <w:rFonts w:ascii="仿宋_GB2312" w:hAnsi="仿宋" w:eastAsia="仿宋_GB2312" w:cs="仿宋_GB2312"/>
          <w:sz w:val="32"/>
          <w:szCs w:val="32"/>
        </w:rPr>
        <w:t>33.58%</w:t>
      </w:r>
      <w:r>
        <w:rPr>
          <w:rFonts w:hint="eastAsia" w:ascii="仿宋_GB2312" w:hAnsi="仿宋_GB2312" w:eastAsia="仿宋_GB2312" w:cs="仿宋_GB2312"/>
          <w:sz w:val="32"/>
          <w:szCs w:val="32"/>
        </w:rPr>
        <w:t>。主要原因为本年监狱物资供应站利润减少。</w:t>
      </w:r>
    </w:p>
    <w:p>
      <w:pPr>
        <w:pStyle w:val="2"/>
        <w:ind w:left="210" w:right="210"/>
      </w:pPr>
    </w:p>
    <w:p>
      <w:pPr>
        <w:pStyle w:val="2"/>
        <w:ind w:left="210" w:right="210"/>
      </w:pPr>
    </w:p>
    <w:p>
      <w:pPr>
        <w:pStyle w:val="2"/>
        <w:ind w:left="210" w:right="210"/>
      </w:pPr>
      <w:r>
        <w:rPr>
          <w:rFonts w:hint="eastAsia"/>
        </w:rPr>
        <w:drawing>
          <wp:inline distT="0" distB="0" distL="0" distR="0">
            <wp:extent cx="5086350" cy="2447925"/>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left="210" w:right="210"/>
      </w:pPr>
    </w:p>
    <w:p>
      <w:pPr>
        <w:spacing w:line="590" w:lineRule="exact"/>
        <w:ind w:firstLine="600"/>
        <w:jc w:val="left"/>
        <w:rPr>
          <w:rFonts w:eastAsia="Times New Roman"/>
          <w:sz w:val="30"/>
          <w:szCs w:val="30"/>
        </w:rPr>
      </w:pPr>
      <w:r>
        <w:rPr>
          <w:rFonts w:hint="eastAsia" w:ascii="黑体" w:hAnsi="黑体" w:eastAsia="黑体" w:cs="黑体"/>
          <w:sz w:val="30"/>
          <w:szCs w:val="30"/>
        </w:rPr>
        <w:t>二、支出决算情况说明</w:t>
      </w:r>
    </w:p>
    <w:p>
      <w:pPr>
        <w:spacing w:line="590" w:lineRule="exact"/>
        <w:ind w:firstLine="600"/>
        <w:rPr>
          <w:rFonts w:ascii="仿宋_GB2312" w:hAnsi="仿宋_GB2312" w:eastAsia="仿宋_GB2312" w:cs="仿宋_GB2312"/>
          <w:sz w:val="32"/>
          <w:szCs w:val="32"/>
        </w:rPr>
      </w:pPr>
      <w:r>
        <w:rPr>
          <w:rFonts w:hint="eastAsia" w:ascii="仿宋_GB2312" w:hAnsi="仿宋" w:eastAsia="仿宋_GB2312" w:cs="仿宋"/>
          <w:sz w:val="32"/>
          <w:szCs w:val="32"/>
        </w:rPr>
        <w:t>云南省第四监狱2020年度支出合计</w:t>
      </w:r>
      <w:r>
        <w:rPr>
          <w:rFonts w:hint="eastAsia" w:ascii="仿宋_GB2312" w:hAnsi="仿宋" w:eastAsia="仿宋_GB2312"/>
          <w:sz w:val="32"/>
          <w:szCs w:val="32"/>
        </w:rPr>
        <w:t>24719.24</w:t>
      </w:r>
      <w:r>
        <w:rPr>
          <w:rFonts w:hint="eastAsia" w:ascii="仿宋_GB2312" w:hAnsi="仿宋" w:eastAsia="仿宋_GB2312" w:cs="仿宋"/>
          <w:sz w:val="32"/>
          <w:szCs w:val="32"/>
        </w:rPr>
        <w:t>万元，</w:t>
      </w:r>
      <w:r>
        <w:rPr>
          <w:rFonts w:hint="eastAsia" w:ascii="仿宋_GB2312" w:hAnsi="仿宋_GB2312" w:eastAsia="仿宋_GB2312" w:cs="仿宋_GB2312"/>
          <w:sz w:val="32"/>
          <w:szCs w:val="32"/>
        </w:rPr>
        <w:t>比上年29046.66万元减少4327.42万元，减幅14.9%</w:t>
      </w:r>
      <w:r>
        <w:rPr>
          <w:rFonts w:hint="eastAsia" w:ascii="仿宋_GB2312" w:hAnsi="仿宋" w:eastAsia="仿宋_GB2312" w:cs="仿宋"/>
          <w:sz w:val="32"/>
          <w:szCs w:val="32"/>
        </w:rPr>
        <w:t>。其中：</w:t>
      </w:r>
      <w:r>
        <w:rPr>
          <w:rFonts w:hint="eastAsia" w:ascii="仿宋_GB2312" w:hAnsi="仿宋" w:eastAsia="仿宋_GB2312" w:cs="仿宋"/>
          <w:kern w:val="0"/>
          <w:sz w:val="32"/>
          <w:szCs w:val="32"/>
        </w:rPr>
        <w:t>基本支出</w:t>
      </w:r>
      <w:r>
        <w:rPr>
          <w:rFonts w:hint="eastAsia" w:ascii="仿宋_GB2312" w:hAnsi="仿宋" w:eastAsia="仿宋_GB2312" w:cs="仿宋"/>
          <w:sz w:val="32"/>
          <w:szCs w:val="32"/>
        </w:rPr>
        <w:t>20019.24万元</w:t>
      </w:r>
      <w:r>
        <w:rPr>
          <w:rFonts w:hint="eastAsia" w:ascii="仿宋_GB2312" w:hAnsi="仿宋" w:eastAsia="仿宋_GB2312" w:cs="仿宋"/>
          <w:kern w:val="0"/>
          <w:sz w:val="32"/>
          <w:szCs w:val="32"/>
        </w:rPr>
        <w:t>，占总支出的80.99</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比上年19196.57万元增加822.67万元，</w:t>
      </w:r>
      <w:bookmarkStart w:id="0" w:name="OLE_LINK1"/>
      <w:r>
        <w:rPr>
          <w:rFonts w:hint="eastAsia" w:ascii="仿宋_GB2312" w:hAnsi="仿宋_GB2312" w:eastAsia="仿宋_GB2312" w:cs="仿宋_GB2312"/>
          <w:sz w:val="32"/>
          <w:szCs w:val="32"/>
        </w:rPr>
        <w:t>增幅4.29%</w:t>
      </w:r>
      <w:bookmarkEnd w:id="0"/>
      <w:r>
        <w:rPr>
          <w:rFonts w:hint="eastAsia" w:ascii="仿宋_GB2312" w:hAnsi="仿宋" w:eastAsia="仿宋_GB2312" w:cs="仿宋"/>
          <w:sz w:val="32"/>
          <w:szCs w:val="32"/>
        </w:rPr>
        <w:t>；</w:t>
      </w:r>
      <w:r>
        <w:rPr>
          <w:rFonts w:hint="eastAsia" w:ascii="仿宋_GB2312" w:hAnsi="仿宋" w:eastAsia="仿宋_GB2312" w:cs="仿宋"/>
          <w:kern w:val="0"/>
          <w:sz w:val="32"/>
          <w:szCs w:val="32"/>
        </w:rPr>
        <w:t>项目支出4700</w:t>
      </w:r>
      <w:bookmarkStart w:id="1" w:name="_GoBack"/>
      <w:bookmarkEnd w:id="1"/>
      <w:r>
        <w:rPr>
          <w:rFonts w:hint="eastAsia" w:ascii="仿宋_GB2312" w:hAnsi="仿宋" w:eastAsia="仿宋_GB2312" w:cs="仿宋"/>
          <w:sz w:val="32"/>
          <w:szCs w:val="32"/>
        </w:rPr>
        <w:t>万元</w:t>
      </w:r>
      <w:r>
        <w:rPr>
          <w:rFonts w:hint="eastAsia" w:ascii="仿宋_GB2312" w:hAnsi="仿宋" w:eastAsia="仿宋_GB2312" w:cs="仿宋"/>
          <w:kern w:val="0"/>
          <w:sz w:val="32"/>
          <w:szCs w:val="32"/>
        </w:rPr>
        <w:t>，占总支出的</w:t>
      </w:r>
      <w:r>
        <w:rPr>
          <w:rFonts w:hint="eastAsia" w:ascii="仿宋_GB2312" w:hAnsi="仿宋" w:eastAsia="仿宋_GB2312" w:cs="仿宋"/>
          <w:sz w:val="32"/>
          <w:szCs w:val="32"/>
        </w:rPr>
        <w:t>19.01%，</w:t>
      </w:r>
      <w:r>
        <w:rPr>
          <w:rFonts w:hint="eastAsia" w:ascii="仿宋_GB2312" w:hAnsi="仿宋_GB2312" w:eastAsia="仿宋_GB2312" w:cs="仿宋_GB2312"/>
          <w:sz w:val="32"/>
          <w:szCs w:val="32"/>
        </w:rPr>
        <w:t>比上年9850.09万元减少5150.09万元，减幅达52.28%</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（具体原因涉密，不进行详细说明）。</w:t>
      </w:r>
    </w:p>
    <w:p>
      <w:pPr>
        <w:pStyle w:val="2"/>
        <w:ind w:left="210" w:right="210"/>
      </w:pPr>
    </w:p>
    <w:p>
      <w:pPr>
        <w:pStyle w:val="2"/>
        <w:ind w:left="210" w:right="210"/>
      </w:pPr>
      <w:r>
        <w:rPr>
          <w:rFonts w:hint="eastAsia"/>
        </w:rPr>
        <w:drawing>
          <wp:inline distT="0" distB="0" distL="0" distR="0">
            <wp:extent cx="5486400" cy="276225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5"/>
        <w:spacing w:line="540" w:lineRule="exact"/>
        <w:rPr>
          <w:rFonts w:ascii="仿宋" w:hAnsi="仿宋" w:eastAsia="仿宋" w:cs="仿宋"/>
          <w:sz w:val="30"/>
          <w:szCs w:val="30"/>
        </w:rPr>
      </w:pPr>
    </w:p>
    <w:tbl>
      <w:tblPr>
        <w:tblStyle w:val="7"/>
        <w:tblW w:w="0" w:type="auto"/>
        <w:tblInd w:w="0" w:type="dxa"/>
        <w:tblLayout w:type="fixed"/>
        <w:tblCellMar>
          <w:top w:w="15" w:type="dxa"/>
          <w:left w:w="15" w:type="dxa"/>
          <w:bottom w:w="15" w:type="dxa"/>
          <w:right w:w="15" w:type="dxa"/>
        </w:tblCellMar>
      </w:tblPr>
      <w:tblGrid>
        <w:gridCol w:w="351"/>
        <w:gridCol w:w="366"/>
        <w:gridCol w:w="350"/>
        <w:gridCol w:w="3242"/>
        <w:gridCol w:w="1078"/>
        <w:gridCol w:w="1077"/>
        <w:gridCol w:w="1078"/>
        <w:gridCol w:w="1078"/>
      </w:tblGrid>
      <w:tr>
        <w:tblPrEx>
          <w:tblCellMar>
            <w:top w:w="15" w:type="dxa"/>
            <w:left w:w="15" w:type="dxa"/>
            <w:bottom w:w="15" w:type="dxa"/>
            <w:right w:w="15" w:type="dxa"/>
          </w:tblCellMar>
        </w:tblPrEx>
        <w:trPr>
          <w:trHeight w:val="520" w:hRule="atLeast"/>
        </w:trPr>
        <w:tc>
          <w:tcPr>
            <w:tcW w:w="8620" w:type="dxa"/>
            <w:gridSpan w:val="8"/>
            <w:vAlign w:val="bottom"/>
          </w:tcPr>
          <w:p>
            <w:pPr>
              <w:spacing w:line="540" w:lineRule="exact"/>
              <w:textAlignment w:val="bottom"/>
              <w:rPr>
                <w:rFonts w:ascii="仿宋_GB2312" w:hAnsi="仿宋_GB2312" w:eastAsia="仿宋_GB2312" w:cs="仿宋_GB2312"/>
                <w:b/>
                <w:color w:val="000000"/>
                <w:kern w:val="0"/>
                <w:sz w:val="30"/>
                <w:szCs w:val="30"/>
              </w:rPr>
            </w:pPr>
          </w:p>
          <w:p>
            <w:pPr>
              <w:spacing w:line="540" w:lineRule="exact"/>
              <w:jc w:val="center"/>
              <w:textAlignment w:val="bottom"/>
              <w:rPr>
                <w:rFonts w:ascii="仿宋_GB2312" w:hAnsi="仿宋_GB2312" w:eastAsia="仿宋_GB2312" w:cs="仿宋_GB2312"/>
                <w:b/>
                <w:color w:val="000000"/>
                <w:kern w:val="0"/>
                <w:sz w:val="30"/>
                <w:szCs w:val="30"/>
              </w:rPr>
            </w:pPr>
          </w:p>
          <w:p>
            <w:pPr>
              <w:spacing w:line="540" w:lineRule="exact"/>
              <w:jc w:val="center"/>
              <w:textAlignment w:val="bottom"/>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kern w:val="0"/>
                <w:sz w:val="30"/>
                <w:szCs w:val="30"/>
              </w:rPr>
              <w:t>支出决算上下年对比情况表</w:t>
            </w:r>
          </w:p>
        </w:tc>
      </w:tr>
      <w:tr>
        <w:tblPrEx>
          <w:tblCellMar>
            <w:top w:w="15" w:type="dxa"/>
            <w:left w:w="15" w:type="dxa"/>
            <w:bottom w:w="15" w:type="dxa"/>
            <w:right w:w="15" w:type="dxa"/>
          </w:tblCellMar>
        </w:tblPrEx>
        <w:trPr>
          <w:trHeight w:val="520" w:hRule="atLeast"/>
        </w:trPr>
        <w:tc>
          <w:tcPr>
            <w:tcW w:w="351" w:type="dxa"/>
            <w:vAlign w:val="bottom"/>
          </w:tcPr>
          <w:p>
            <w:pPr>
              <w:spacing w:line="540" w:lineRule="exact"/>
              <w:rPr>
                <w:rFonts w:ascii="仿宋_GB2312" w:hAnsi="仿宋_GB2312" w:eastAsia="仿宋_GB2312" w:cs="仿宋_GB2312"/>
                <w:color w:val="000000"/>
                <w:sz w:val="24"/>
                <w:szCs w:val="24"/>
              </w:rPr>
            </w:pPr>
          </w:p>
        </w:tc>
        <w:tc>
          <w:tcPr>
            <w:tcW w:w="366" w:type="dxa"/>
            <w:tcBorders>
              <w:bottom w:val="single" w:color="000000" w:sz="4" w:space="0"/>
            </w:tcBorders>
            <w:vAlign w:val="bottom"/>
          </w:tcPr>
          <w:p>
            <w:pPr>
              <w:spacing w:line="540" w:lineRule="exact"/>
              <w:rPr>
                <w:rFonts w:ascii="仿宋_GB2312" w:hAnsi="仿宋_GB2312" w:eastAsia="仿宋_GB2312" w:cs="仿宋_GB2312"/>
                <w:color w:val="000000"/>
                <w:sz w:val="20"/>
                <w:szCs w:val="20"/>
              </w:rPr>
            </w:pPr>
          </w:p>
        </w:tc>
        <w:tc>
          <w:tcPr>
            <w:tcW w:w="350" w:type="dxa"/>
            <w:tcBorders>
              <w:bottom w:val="single" w:color="000000" w:sz="4" w:space="0"/>
            </w:tcBorders>
            <w:vAlign w:val="bottom"/>
          </w:tcPr>
          <w:p>
            <w:pPr>
              <w:spacing w:line="540" w:lineRule="exact"/>
              <w:rPr>
                <w:rFonts w:ascii="仿宋_GB2312" w:hAnsi="仿宋_GB2312" w:eastAsia="仿宋_GB2312" w:cs="仿宋_GB2312"/>
                <w:color w:val="000000"/>
                <w:sz w:val="20"/>
                <w:szCs w:val="20"/>
              </w:rPr>
            </w:pPr>
          </w:p>
        </w:tc>
        <w:tc>
          <w:tcPr>
            <w:tcW w:w="3242" w:type="dxa"/>
            <w:tcBorders>
              <w:bottom w:val="single" w:color="000000" w:sz="4" w:space="0"/>
            </w:tcBorders>
            <w:vAlign w:val="bottom"/>
          </w:tcPr>
          <w:p>
            <w:pPr>
              <w:spacing w:line="540" w:lineRule="exact"/>
              <w:rPr>
                <w:rFonts w:ascii="仿宋_GB2312" w:hAnsi="仿宋_GB2312" w:eastAsia="仿宋_GB2312" w:cs="仿宋_GB2312"/>
                <w:color w:val="000000"/>
                <w:sz w:val="20"/>
                <w:szCs w:val="20"/>
              </w:rPr>
            </w:pPr>
          </w:p>
        </w:tc>
        <w:tc>
          <w:tcPr>
            <w:tcW w:w="1078" w:type="dxa"/>
            <w:vAlign w:val="bottom"/>
          </w:tcPr>
          <w:p>
            <w:pPr>
              <w:spacing w:line="540" w:lineRule="exact"/>
              <w:rPr>
                <w:rFonts w:ascii="仿宋_GB2312" w:hAnsi="仿宋_GB2312" w:eastAsia="仿宋_GB2312" w:cs="仿宋_GB2312"/>
                <w:color w:val="000000"/>
                <w:sz w:val="20"/>
                <w:szCs w:val="20"/>
              </w:rPr>
            </w:pPr>
          </w:p>
        </w:tc>
        <w:tc>
          <w:tcPr>
            <w:tcW w:w="1077" w:type="dxa"/>
            <w:vAlign w:val="bottom"/>
          </w:tcPr>
          <w:p>
            <w:pPr>
              <w:spacing w:line="540" w:lineRule="exact"/>
              <w:rPr>
                <w:rFonts w:ascii="仿宋_GB2312" w:hAnsi="仿宋_GB2312" w:eastAsia="仿宋_GB2312" w:cs="仿宋_GB2312"/>
                <w:color w:val="000000"/>
                <w:sz w:val="24"/>
                <w:szCs w:val="24"/>
              </w:rPr>
            </w:pPr>
          </w:p>
        </w:tc>
        <w:tc>
          <w:tcPr>
            <w:tcW w:w="2156" w:type="dxa"/>
            <w:gridSpan w:val="2"/>
            <w:vAlign w:val="center"/>
          </w:tcPr>
          <w:p>
            <w:pPr>
              <w:spacing w:line="54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单位：万元</w:t>
            </w:r>
          </w:p>
        </w:tc>
      </w:tr>
      <w:tr>
        <w:tblPrEx>
          <w:tblCellMar>
            <w:top w:w="15" w:type="dxa"/>
            <w:left w:w="15" w:type="dxa"/>
            <w:bottom w:w="15" w:type="dxa"/>
            <w:right w:w="15" w:type="dxa"/>
          </w:tblCellMar>
        </w:tblPrEx>
        <w:trPr>
          <w:trHeight w:val="1040" w:hRule="atLeast"/>
        </w:trPr>
        <w:tc>
          <w:tcPr>
            <w:tcW w:w="4309" w:type="dxa"/>
            <w:gridSpan w:val="4"/>
            <w:tcBorders>
              <w:top w:val="single" w:color="000000" w:sz="12" w:space="0"/>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项目</w:t>
            </w:r>
          </w:p>
        </w:tc>
        <w:tc>
          <w:tcPr>
            <w:tcW w:w="1078" w:type="dxa"/>
            <w:tcBorders>
              <w:top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2019年支出合计</w:t>
            </w:r>
          </w:p>
        </w:tc>
        <w:tc>
          <w:tcPr>
            <w:tcW w:w="1077" w:type="dxa"/>
            <w:tcBorders>
              <w:top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2020年支出合计</w:t>
            </w:r>
          </w:p>
        </w:tc>
        <w:tc>
          <w:tcPr>
            <w:tcW w:w="1078" w:type="dxa"/>
            <w:tcBorders>
              <w:top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增减</w:t>
            </w:r>
          </w:p>
        </w:tc>
        <w:tc>
          <w:tcPr>
            <w:tcW w:w="1078" w:type="dxa"/>
            <w:tcBorders>
              <w:top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幅度</w:t>
            </w:r>
          </w:p>
        </w:tc>
      </w:tr>
      <w:tr>
        <w:tblPrEx>
          <w:tblCellMar>
            <w:top w:w="15" w:type="dxa"/>
            <w:left w:w="15" w:type="dxa"/>
            <w:bottom w:w="15" w:type="dxa"/>
            <w:right w:w="15" w:type="dxa"/>
          </w:tblCellMar>
        </w:tblPrEx>
        <w:trPr>
          <w:trHeight w:val="548" w:hRule="atLeast"/>
        </w:trPr>
        <w:tc>
          <w:tcPr>
            <w:tcW w:w="351" w:type="dxa"/>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类</w:t>
            </w:r>
          </w:p>
        </w:tc>
        <w:tc>
          <w:tcPr>
            <w:tcW w:w="366"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款</w:t>
            </w:r>
          </w:p>
        </w:tc>
        <w:tc>
          <w:tcPr>
            <w:tcW w:w="350"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项</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合计</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29046.66</w:t>
            </w:r>
          </w:p>
        </w:tc>
        <w:tc>
          <w:tcPr>
            <w:tcW w:w="1077" w:type="dxa"/>
            <w:tcBorders>
              <w:top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24719.24</w:t>
            </w:r>
          </w:p>
        </w:tc>
        <w:tc>
          <w:tcPr>
            <w:tcW w:w="1078" w:type="dxa"/>
            <w:tcBorders>
              <w:top w:val="single" w:color="000000" w:sz="12" w:space="0"/>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-4327.42</w:t>
            </w:r>
          </w:p>
        </w:tc>
        <w:tc>
          <w:tcPr>
            <w:tcW w:w="1078" w:type="dxa"/>
            <w:tcBorders>
              <w:top w:val="single" w:color="000000" w:sz="12" w:space="0"/>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-14.9%</w:t>
            </w:r>
          </w:p>
        </w:tc>
      </w:tr>
      <w:tr>
        <w:tblPrEx>
          <w:tblCellMar>
            <w:top w:w="15" w:type="dxa"/>
            <w:left w:w="15" w:type="dxa"/>
            <w:bottom w:w="15" w:type="dxa"/>
            <w:right w:w="15" w:type="dxa"/>
          </w:tblCellMar>
        </w:tblPrEx>
        <w:trPr>
          <w:trHeight w:val="548"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20407</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监狱</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24738.64</w:t>
            </w:r>
          </w:p>
        </w:tc>
        <w:tc>
          <w:tcPr>
            <w:tcW w:w="1077"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20135.79</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-4602.85</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-18.61%</w:t>
            </w:r>
          </w:p>
        </w:tc>
      </w:tr>
      <w:tr>
        <w:tblPrEx>
          <w:tblCellMar>
            <w:top w:w="15" w:type="dxa"/>
            <w:left w:w="15" w:type="dxa"/>
            <w:bottom w:w="15" w:type="dxa"/>
            <w:right w:w="15" w:type="dxa"/>
          </w:tblCellMar>
        </w:tblPrEx>
        <w:trPr>
          <w:trHeight w:val="548"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2080501</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归口管理的行政单位离退休</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5.24</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5.24</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0</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0%</w:t>
            </w:r>
          </w:p>
        </w:tc>
      </w:tr>
      <w:tr>
        <w:tblPrEx>
          <w:tblCellMar>
            <w:top w:w="15" w:type="dxa"/>
            <w:left w:w="15" w:type="dxa"/>
            <w:bottom w:w="15" w:type="dxa"/>
            <w:right w:w="15" w:type="dxa"/>
          </w:tblCellMar>
        </w:tblPrEx>
        <w:trPr>
          <w:trHeight w:val="943"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2080505</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机关事业单位基本养老保险缴费支出</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1175.15</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1275.46</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100.31</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8.54%</w:t>
            </w:r>
          </w:p>
        </w:tc>
      </w:tr>
      <w:tr>
        <w:tblPrEx>
          <w:tblCellMar>
            <w:top w:w="15" w:type="dxa"/>
            <w:left w:w="15" w:type="dxa"/>
            <w:bottom w:w="15" w:type="dxa"/>
            <w:right w:w="15" w:type="dxa"/>
          </w:tblCellMar>
        </w:tblPrEx>
        <w:trPr>
          <w:trHeight w:val="548"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2080506</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机关事业单位职业年金缴费支出</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29.46</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37.93</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8.47</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28.75%</w:t>
            </w:r>
          </w:p>
        </w:tc>
      </w:tr>
      <w:tr>
        <w:tblPrEx>
          <w:tblCellMar>
            <w:top w:w="15" w:type="dxa"/>
            <w:left w:w="15" w:type="dxa"/>
            <w:bottom w:w="15" w:type="dxa"/>
            <w:right w:w="15" w:type="dxa"/>
          </w:tblCellMar>
        </w:tblPrEx>
        <w:trPr>
          <w:trHeight w:val="548"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2080801</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死亡抚恤</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3.6</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3.6</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0</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0%</w:t>
            </w:r>
          </w:p>
        </w:tc>
      </w:tr>
      <w:tr>
        <w:tblPrEx>
          <w:tblCellMar>
            <w:top w:w="15" w:type="dxa"/>
            <w:left w:w="15" w:type="dxa"/>
            <w:bottom w:w="15" w:type="dxa"/>
            <w:right w:w="15" w:type="dxa"/>
          </w:tblCellMar>
        </w:tblPrEx>
        <w:trPr>
          <w:trHeight w:val="712"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2101101</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行政单位医疗</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770.04</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915.48</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145.44</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18.89%</w:t>
            </w:r>
          </w:p>
        </w:tc>
      </w:tr>
      <w:tr>
        <w:tblPrEx>
          <w:tblCellMar>
            <w:top w:w="15" w:type="dxa"/>
            <w:left w:w="15" w:type="dxa"/>
            <w:bottom w:w="15" w:type="dxa"/>
            <w:right w:w="15" w:type="dxa"/>
          </w:tblCellMar>
        </w:tblPrEx>
        <w:trPr>
          <w:trHeight w:val="712"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2101103</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公务员医疗补助</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421.69</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424.35</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2.66</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0.63%</w:t>
            </w:r>
          </w:p>
        </w:tc>
      </w:tr>
      <w:tr>
        <w:tblPrEx>
          <w:tblCellMar>
            <w:top w:w="15" w:type="dxa"/>
            <w:left w:w="15" w:type="dxa"/>
            <w:bottom w:w="15" w:type="dxa"/>
            <w:right w:w="15" w:type="dxa"/>
          </w:tblCellMar>
        </w:tblPrEx>
        <w:trPr>
          <w:trHeight w:val="548"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2101199</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其他行政事业单位医疗支出</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37.02</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27.58</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-9.44</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-25.5%</w:t>
            </w:r>
          </w:p>
        </w:tc>
      </w:tr>
      <w:tr>
        <w:tblPrEx>
          <w:tblCellMar>
            <w:top w:w="15" w:type="dxa"/>
            <w:left w:w="15" w:type="dxa"/>
            <w:bottom w:w="15" w:type="dxa"/>
            <w:right w:w="15" w:type="dxa"/>
          </w:tblCellMar>
        </w:tblPrEx>
        <w:trPr>
          <w:trHeight w:val="917"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2210201</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住房公积金</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1159.05</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1231.02</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71.97</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6.21%</w:t>
            </w:r>
          </w:p>
        </w:tc>
      </w:tr>
      <w:tr>
        <w:tblPrEx>
          <w:tblCellMar>
            <w:top w:w="15" w:type="dxa"/>
            <w:left w:w="15" w:type="dxa"/>
            <w:bottom w:w="15" w:type="dxa"/>
            <w:right w:w="15" w:type="dxa"/>
          </w:tblCellMar>
        </w:tblPrEx>
        <w:trPr>
          <w:trHeight w:val="712" w:hRule="atLeast"/>
        </w:trPr>
        <w:tc>
          <w:tcPr>
            <w:tcW w:w="1067" w:type="dxa"/>
            <w:gridSpan w:val="3"/>
            <w:tcBorders>
              <w:left w:val="single" w:color="000000" w:sz="12" w:space="0"/>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rPr>
              <w:t>2290401</w:t>
            </w:r>
          </w:p>
        </w:tc>
        <w:tc>
          <w:tcPr>
            <w:tcW w:w="3242"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Style w:val="14"/>
                <w:rFonts w:hint="default" w:ascii="仿宋_GB2312" w:hAnsi="仿宋_GB2312" w:eastAsia="仿宋_GB2312" w:cs="仿宋_GB2312"/>
              </w:rPr>
              <w:t>其他政府性基金安排的支出</w:t>
            </w:r>
          </w:p>
        </w:tc>
        <w:tc>
          <w:tcPr>
            <w:tcW w:w="1078" w:type="dxa"/>
            <w:tcBorders>
              <w:bottom w:val="single" w:color="000000" w:sz="12" w:space="0"/>
              <w:right w:val="single" w:color="000000" w:sz="12" w:space="0"/>
            </w:tcBorders>
            <w:vAlign w:val="center"/>
          </w:tcPr>
          <w:p>
            <w:pPr>
              <w:spacing w:line="540" w:lineRule="exact"/>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606.76</w:t>
            </w:r>
          </w:p>
        </w:tc>
        <w:tc>
          <w:tcPr>
            <w:tcW w:w="1077" w:type="dxa"/>
            <w:tcBorders>
              <w:bottom w:val="single" w:color="000000" w:sz="12" w:space="0"/>
              <w:right w:val="single" w:color="000000" w:sz="12" w:space="0"/>
            </w:tcBorders>
            <w:vAlign w:val="center"/>
          </w:tcPr>
          <w:p>
            <w:pPr>
              <w:jc w:val="right"/>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662.8</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56.04</w:t>
            </w:r>
          </w:p>
        </w:tc>
        <w:tc>
          <w:tcPr>
            <w:tcW w:w="1078" w:type="dxa"/>
            <w:tcBorders>
              <w:bottom w:val="single" w:color="000000" w:sz="12" w:space="0"/>
              <w:right w:val="single" w:color="000000" w:sz="12" w:space="0"/>
            </w:tcBorders>
            <w:vAlign w:val="center"/>
          </w:tcPr>
          <w:p>
            <w:pPr>
              <w:jc w:val="center"/>
              <w:textAlignment w:val="center"/>
              <w:rPr>
                <w:rFonts w:ascii="仿宋_GB2312" w:hAnsi="仿宋_GB2312" w:eastAsia="仿宋_GB2312" w:cs="仿宋_GB2312"/>
                <w:color w:val="000000"/>
              </w:rPr>
            </w:pPr>
            <w:r>
              <w:rPr>
                <w:rFonts w:hint="eastAsia" w:ascii="仿宋_GB2312" w:hAnsi="仿宋_GB2312" w:eastAsia="仿宋_GB2312" w:cs="仿宋_GB2312"/>
                <w:color w:val="000000"/>
                <w:kern w:val="0"/>
                <w:sz w:val="22"/>
                <w:szCs w:val="22"/>
              </w:rPr>
              <w:t>9.24%</w:t>
            </w:r>
          </w:p>
        </w:tc>
      </w:tr>
    </w:tbl>
    <w:p>
      <w:pPr>
        <w:spacing w:line="590" w:lineRule="exact"/>
        <w:jc w:val="left"/>
        <w:rPr>
          <w:rFonts w:ascii="楷体" w:hAnsi="楷体" w:eastAsia="楷体" w:cs="楷体"/>
          <w:sz w:val="30"/>
          <w:szCs w:val="30"/>
        </w:rPr>
      </w:pPr>
    </w:p>
    <w:p>
      <w:pPr>
        <w:spacing w:line="590" w:lineRule="exact"/>
        <w:ind w:firstLine="600"/>
        <w:jc w:val="left"/>
        <w:rPr>
          <w:rFonts w:eastAsia="Times New Roman"/>
          <w:sz w:val="30"/>
          <w:szCs w:val="30"/>
        </w:rPr>
      </w:pPr>
      <w:r>
        <w:rPr>
          <w:rFonts w:hint="eastAsia" w:ascii="楷体" w:hAnsi="楷体" w:eastAsia="楷体" w:cs="楷体"/>
          <w:sz w:val="30"/>
          <w:szCs w:val="30"/>
        </w:rPr>
        <w:t>（一）基本支出情况</w:t>
      </w:r>
    </w:p>
    <w:p>
      <w:pPr>
        <w:snapToGrid w:val="0"/>
        <w:spacing w:before="100" w:after="100" w:line="600" w:lineRule="exact"/>
        <w:ind w:left="601" w:leftChars="286"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2020年度用于保障云南省第四监狱正常运转的日常支出20019.24万元，</w:t>
      </w:r>
      <w:r>
        <w:rPr>
          <w:rFonts w:hint="eastAsia" w:ascii="仿宋_GB2312" w:hAnsi="仿宋_GB2312" w:eastAsia="仿宋_GB2312" w:cs="仿宋_GB2312"/>
          <w:sz w:val="32"/>
          <w:szCs w:val="32"/>
        </w:rPr>
        <w:t>与上年19196.57万元对比增加822.67万元</w:t>
      </w:r>
      <w:r>
        <w:rPr>
          <w:rFonts w:hint="eastAsia" w:ascii="仿宋_GB2312" w:hAnsi="仿宋" w:eastAsia="仿宋_GB2312" w:cs="仿宋"/>
          <w:sz w:val="32"/>
          <w:szCs w:val="32"/>
        </w:rPr>
        <w:t>。包括基本工资、津贴补贴等人员经费支出18052.45万元，占基本支出的90.18%。办公费、印刷费、水电费、办公设备购置等公用经费1966.79万元，占基本支出的9.82%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（具体原因涉密，不进行详细说明）。</w:t>
      </w:r>
    </w:p>
    <w:p>
      <w:pPr>
        <w:pStyle w:val="2"/>
        <w:ind w:left="210" w:right="210"/>
      </w:pPr>
      <w:r>
        <w:rPr>
          <w:rFonts w:ascii="仿宋_GB2312" w:eastAsia="仿宋_GB2312"/>
        </w:rPr>
        <w:drawing>
          <wp:inline distT="0" distB="0" distL="0" distR="0">
            <wp:extent cx="3876675" cy="2562225"/>
            <wp:effectExtent l="0" t="0" r="0" b="0"/>
            <wp:docPr id="4" name="对象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90" w:lineRule="exact"/>
        <w:ind w:firstLine="600"/>
        <w:jc w:val="left"/>
        <w:rPr>
          <w:rFonts w:eastAsia="Times New Roman"/>
          <w:sz w:val="30"/>
          <w:szCs w:val="30"/>
        </w:rPr>
      </w:pPr>
      <w:r>
        <w:rPr>
          <w:rFonts w:hint="eastAsia" w:ascii="楷体" w:hAnsi="楷体" w:eastAsia="楷体" w:cs="楷体"/>
          <w:sz w:val="30"/>
          <w:szCs w:val="30"/>
        </w:rPr>
        <w:t>（二）项目支出情况</w:t>
      </w:r>
    </w:p>
    <w:p>
      <w:pPr>
        <w:widowControl w:val="0"/>
        <w:spacing w:line="540" w:lineRule="exact"/>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2020年度用于保障云南省第四监狱为完成特定的行政工作任务或事业发展目标，用于专项业务工作的经费支出4700万元。</w:t>
      </w:r>
      <w:r>
        <w:rPr>
          <w:rFonts w:hint="eastAsia" w:ascii="仿宋_GB2312" w:hAnsi="仿宋_GB2312" w:eastAsia="仿宋_GB2312" w:cs="仿宋_GB2312"/>
          <w:sz w:val="32"/>
          <w:szCs w:val="32"/>
        </w:rPr>
        <w:t>与上年9850.09万元对比减少5150.09万元,具体项目开支及开展工作情况（主要原因及具体项目内容涉密，不进行详细说明）。</w:t>
      </w:r>
    </w:p>
    <w:p>
      <w:pPr>
        <w:spacing w:line="590" w:lineRule="exact"/>
        <w:ind w:firstLine="600"/>
        <w:jc w:val="left"/>
        <w:rPr>
          <w:rFonts w:eastAsia="Times New Roman"/>
          <w:sz w:val="30"/>
          <w:szCs w:val="30"/>
        </w:rPr>
      </w:pPr>
      <w:r>
        <w:rPr>
          <w:rFonts w:hint="eastAsia" w:ascii="黑体" w:hAnsi="黑体" w:eastAsia="黑体" w:cs="黑体"/>
          <w:sz w:val="30"/>
          <w:szCs w:val="30"/>
        </w:rPr>
        <w:t>三、一般公共预算财政拨款支出决算情况说明</w:t>
      </w:r>
    </w:p>
    <w:p>
      <w:pPr>
        <w:spacing w:line="590" w:lineRule="exact"/>
        <w:ind w:firstLine="600"/>
        <w:jc w:val="left"/>
        <w:rPr>
          <w:rFonts w:eastAsia="Times New Roman"/>
          <w:sz w:val="30"/>
          <w:szCs w:val="30"/>
        </w:rPr>
      </w:pPr>
      <w:r>
        <w:rPr>
          <w:rFonts w:hint="eastAsia" w:ascii="楷体" w:hAnsi="楷体" w:eastAsia="楷体" w:cs="楷体"/>
          <w:sz w:val="30"/>
          <w:szCs w:val="30"/>
        </w:rPr>
        <w:t>（一）一般公共预算财政拨款支出决算总体情况</w:t>
      </w:r>
    </w:p>
    <w:p>
      <w:pPr>
        <w:spacing w:line="590" w:lineRule="exact"/>
        <w:ind w:firstLine="600"/>
        <w:jc w:val="left"/>
        <w:rPr>
          <w:rFonts w:ascii="仿宋_GB2312" w:hAnsi="仿宋" w:eastAsia="仿宋_GB2312" w:cs="仿宋"/>
          <w:color w:val="FF0000"/>
          <w:kern w:val="0"/>
          <w:sz w:val="32"/>
          <w:szCs w:val="32"/>
        </w:rPr>
      </w:pPr>
      <w:r>
        <w:rPr>
          <w:rFonts w:hint="eastAsia" w:ascii="仿宋_GB2312" w:hAnsi="仿宋" w:eastAsia="仿宋_GB2312" w:cs="仿宋"/>
          <w:sz w:val="32"/>
          <w:szCs w:val="32"/>
        </w:rPr>
        <w:t>云南省第四监狱2020年度一般公共预算财政拨款支出</w:t>
      </w:r>
      <w:r>
        <w:rPr>
          <w:rFonts w:hint="eastAsia" w:ascii="仿宋_GB2312" w:hAnsi="仿宋" w:eastAsia="仿宋_GB2312" w:cs="仿宋"/>
          <w:kern w:val="0"/>
          <w:sz w:val="32"/>
          <w:szCs w:val="32"/>
        </w:rPr>
        <w:t>24551.86万元，占本年支出合计的</w:t>
      </w:r>
      <w:r>
        <w:rPr>
          <w:rFonts w:hint="eastAsia" w:ascii="仿宋_GB2312" w:hAnsi="仿宋" w:eastAsia="仿宋_GB2312" w:cs="仿宋"/>
          <w:sz w:val="32"/>
          <w:szCs w:val="32"/>
        </w:rPr>
        <w:t>99.32%</w:t>
      </w:r>
      <w:r>
        <w:rPr>
          <w:rFonts w:hint="eastAsia" w:ascii="仿宋_GB2312" w:hAnsi="仿宋" w:eastAsia="仿宋_GB2312" w:cs="仿宋"/>
          <w:color w:val="000000"/>
          <w:kern w:val="0"/>
          <w:sz w:val="32"/>
          <w:szCs w:val="32"/>
        </w:rPr>
        <w:t>。</w:t>
      </w:r>
      <w:r>
        <w:rPr>
          <w:rFonts w:hint="eastAsia" w:ascii="仿宋_GB2312" w:hAnsi="宋体" w:eastAsia="仿宋_GB2312" w:cs="仿宋_GB2312"/>
          <w:kern w:val="0"/>
          <w:sz w:val="32"/>
          <w:szCs w:val="32"/>
        </w:rPr>
        <w:t>与上年28794.67万元对比减少4242.81万元</w:t>
      </w:r>
      <w:r>
        <w:rPr>
          <w:rFonts w:hint="eastAsia" w:ascii="仿宋_GB2312" w:hAnsi="仿宋_GB2312" w:eastAsia="仿宋_GB2312" w:cs="仿宋_GB2312"/>
          <w:sz w:val="32"/>
          <w:szCs w:val="32"/>
        </w:rPr>
        <w:t>（具体原因涉密，不进行详细说明）。</w:t>
      </w:r>
    </w:p>
    <w:p>
      <w:pPr>
        <w:spacing w:line="590" w:lineRule="exact"/>
        <w:ind w:firstLine="600"/>
        <w:jc w:val="left"/>
        <w:rPr>
          <w:rFonts w:eastAsia="Times New Roman"/>
          <w:kern w:val="0"/>
          <w:sz w:val="30"/>
          <w:szCs w:val="30"/>
        </w:rPr>
      </w:pPr>
      <w:r>
        <w:rPr>
          <w:rFonts w:hint="eastAsia" w:ascii="楷体" w:hAnsi="楷体" w:eastAsia="楷体" w:cs="楷体"/>
          <w:sz w:val="30"/>
          <w:szCs w:val="30"/>
        </w:rPr>
        <w:t>（二）一般公共预算财政拨款支出决算具体情况</w:t>
      </w:r>
    </w:p>
    <w:p>
      <w:pPr>
        <w:spacing w:line="590" w:lineRule="exact"/>
        <w:ind w:firstLine="6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1.公共安全（类）支出19968.41万元，占一般公共预算财政拨款总支出的83.59%。</w:t>
      </w:r>
      <w:r>
        <w:rPr>
          <w:rFonts w:hint="eastAsia" w:ascii="仿宋_GB2312" w:hAnsi="仿宋_GB2312" w:eastAsia="仿宋_GB2312" w:cs="仿宋_GB2312"/>
          <w:kern w:val="0"/>
          <w:sz w:val="32"/>
          <w:szCs w:val="32"/>
        </w:rPr>
        <w:t>主要用于监狱人员经费及</w:t>
      </w:r>
      <w:r>
        <w:rPr>
          <w:rFonts w:hint="eastAsia" w:ascii="仿宋_GB2312" w:hAnsi="仿宋_GB2312" w:eastAsia="仿宋_GB2312" w:cs="仿宋_GB2312"/>
          <w:sz w:val="32"/>
          <w:szCs w:val="32"/>
        </w:rPr>
        <w:t>保障云南省第四监狱机关正常运转的日常支出、监狱建设和监管设施维修等保障监狱安全稳定的项目支出</w:t>
      </w:r>
      <w:r>
        <w:rPr>
          <w:rFonts w:hint="eastAsia" w:ascii="仿宋_GB2312" w:hAnsi="仿宋" w:eastAsia="仿宋_GB2312" w:cs="仿宋"/>
          <w:kern w:val="0"/>
          <w:sz w:val="32"/>
          <w:szCs w:val="32"/>
        </w:rPr>
        <w:t>。</w:t>
      </w:r>
    </w:p>
    <w:p>
      <w:pPr>
        <w:spacing w:line="590" w:lineRule="exact"/>
        <w:ind w:firstLine="6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2.社会保障和就业（类）支出1322.23万元，占一般公共预算财政拨款总支出的5.53%。</w:t>
      </w:r>
      <w:r>
        <w:rPr>
          <w:rFonts w:hint="eastAsia" w:ascii="仿宋_GB2312" w:hAnsi="仿宋_GB2312" w:eastAsia="仿宋_GB2312" w:cs="仿宋_GB2312"/>
          <w:sz w:val="32"/>
          <w:szCs w:val="32"/>
        </w:rPr>
        <w:t>主要用于云南省第四监狱离退休公共支出和机关事业单位养老保险及职业年金缴费支出。</w:t>
      </w:r>
    </w:p>
    <w:p>
      <w:pPr>
        <w:spacing w:line="590" w:lineRule="exact"/>
        <w:ind w:firstLine="6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3.卫生健康（类）支出1367.41万元，占一般公共预算财政拨款总支出的5.72%。</w:t>
      </w:r>
      <w:r>
        <w:rPr>
          <w:rFonts w:hint="eastAsia" w:ascii="仿宋_GB2312" w:hAnsi="仿宋_GB2312" w:eastAsia="仿宋_GB2312" w:cs="仿宋_GB2312"/>
          <w:sz w:val="32"/>
          <w:szCs w:val="32"/>
        </w:rPr>
        <w:t>主要用于在职干警的医疗保障缴费支出。</w:t>
      </w:r>
    </w:p>
    <w:p>
      <w:pPr>
        <w:spacing w:line="59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4.住房保障（类）支出1231.02万元，占一般公共预算财政拨款总支出的5.15%。</w:t>
      </w:r>
      <w:r>
        <w:rPr>
          <w:rFonts w:hint="eastAsia" w:ascii="仿宋_GB2312" w:hAnsi="仿宋_GB2312" w:eastAsia="仿宋_GB2312" w:cs="仿宋_GB2312"/>
          <w:sz w:val="32"/>
          <w:szCs w:val="32"/>
        </w:rPr>
        <w:t>主要用于在职干警住房公积金缴费支出。</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楷体" w:eastAsia="仿宋_GB2312" w:cs="楷体"/>
          <w:sz w:val="32"/>
          <w:szCs w:val="32"/>
        </w:rPr>
        <w:t>一般公共预算财政拨款</w:t>
      </w:r>
      <w:r>
        <w:rPr>
          <w:rFonts w:hint="eastAsia" w:ascii="仿宋_GB2312" w:hAnsi="仿宋" w:eastAsia="仿宋_GB2312" w:cs="Segoe UI"/>
          <w:color w:val="212529"/>
          <w:sz w:val="32"/>
          <w:szCs w:val="32"/>
        </w:rPr>
        <w:t>除上述科目支出外,云南省第四监狱2020年未发生其他科目支出情况。</w:t>
      </w:r>
    </w:p>
    <w:p>
      <w:pPr>
        <w:snapToGrid w:val="0"/>
        <w:spacing w:before="100" w:after="100" w:line="360" w:lineRule="auto"/>
        <w:ind w:firstLine="600" w:firstLineChars="200"/>
        <w:jc w:val="left"/>
        <w:rPr>
          <w:rFonts w:ascii="仿宋_GB2312" w:hAnsi="黑体" w:eastAsia="仿宋_GB2312"/>
          <w:sz w:val="30"/>
          <w:szCs w:val="30"/>
        </w:rPr>
      </w:pPr>
      <w:r>
        <w:rPr>
          <w:rFonts w:hint="eastAsia" w:ascii="仿宋_GB2312" w:hAnsi="黑体" w:eastAsia="仿宋_GB2312"/>
          <w:sz w:val="30"/>
          <w:szCs w:val="30"/>
        </w:rPr>
        <w:t xml:space="preserve"> </w:t>
      </w:r>
      <w:r>
        <w:rPr>
          <w:rFonts w:ascii="仿宋_GB2312" w:hAnsi="黑体" w:eastAsia="仿宋_GB2312"/>
          <w:sz w:val="30"/>
          <w:szCs w:val="30"/>
        </w:rPr>
        <w:drawing>
          <wp:inline distT="0" distB="0" distL="0" distR="0">
            <wp:extent cx="4095750" cy="2581275"/>
            <wp:effectExtent l="0" t="0" r="0" b="0"/>
            <wp:docPr id="9" name="对象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590" w:lineRule="exact"/>
        <w:jc w:val="left"/>
        <w:rPr>
          <w:rFonts w:ascii="仿宋" w:hAnsi="仿宋" w:eastAsia="仿宋" w:cs="仿宋"/>
          <w:color w:val="FF0000"/>
          <w:kern w:val="0"/>
          <w:sz w:val="30"/>
          <w:szCs w:val="30"/>
        </w:rPr>
      </w:pPr>
    </w:p>
    <w:p>
      <w:pPr>
        <w:spacing w:line="590" w:lineRule="exact"/>
        <w:ind w:firstLine="600"/>
        <w:jc w:val="left"/>
        <w:rPr>
          <w:rFonts w:eastAsia="Times New Roman"/>
          <w:sz w:val="30"/>
          <w:szCs w:val="30"/>
        </w:rPr>
      </w:pPr>
      <w:r>
        <w:rPr>
          <w:rFonts w:hint="eastAsia" w:ascii="黑体" w:hAnsi="黑体" w:eastAsia="黑体" w:cs="黑体"/>
          <w:sz w:val="30"/>
          <w:szCs w:val="30"/>
        </w:rPr>
        <w:t>四、一般公共预算财政拨款“三公”经费支出决算情况说明</w:t>
      </w:r>
    </w:p>
    <w:p>
      <w:pPr>
        <w:spacing w:line="590" w:lineRule="exact"/>
        <w:ind w:firstLine="600"/>
        <w:jc w:val="left"/>
        <w:rPr>
          <w:rFonts w:eastAsia="Times New Roman"/>
          <w:sz w:val="30"/>
          <w:szCs w:val="30"/>
        </w:rPr>
      </w:pPr>
      <w:r>
        <w:rPr>
          <w:rFonts w:hint="eastAsia" w:ascii="楷体" w:hAnsi="楷体" w:eastAsia="楷体" w:cs="楷体"/>
          <w:sz w:val="30"/>
          <w:szCs w:val="30"/>
        </w:rPr>
        <w:t>（一）一般公共预算财政拨款“三公”经费支出决算总体情况</w:t>
      </w:r>
    </w:p>
    <w:p>
      <w:pPr>
        <w:spacing w:line="590" w:lineRule="exact"/>
        <w:ind w:firstLine="600"/>
        <w:rPr>
          <w:rFonts w:ascii="仿宋_GB2312" w:eastAsia="仿宋_GB2312"/>
          <w:sz w:val="32"/>
          <w:szCs w:val="32"/>
        </w:rPr>
      </w:pPr>
      <w:r>
        <w:rPr>
          <w:rFonts w:hint="eastAsia" w:ascii="仿宋_GB2312" w:hAnsi="仿宋" w:eastAsia="仿宋_GB2312" w:cs="仿宋"/>
          <w:sz w:val="32"/>
          <w:szCs w:val="32"/>
        </w:rPr>
        <w:t>云南省第四监狱2020年度一般公共预算财政拨款“三公”经费支出预算为78.2万元，支出决算为32.22万元，完成预算的41.2%。其中：因公出国（境）费支出决算为0万元，完成预算的0%；公务用车购置及运行费支出决算为31.95万元，完成预算的63.9%；公务接待费支出决算为0.27万元，完成预算的0.96%。2020年度一般公共预算财政拨款“三公”经费支出决算数小于预算数的主要原因为按“新冠肺炎”疫情防控要求，</w:t>
      </w:r>
      <w:r>
        <w:rPr>
          <w:rFonts w:hint="eastAsia" w:ascii="仿宋_GB2312" w:hAnsi="仿宋" w:eastAsia="仿宋_GB2312" w:cs="仿宋"/>
          <w:color w:val="000000"/>
          <w:sz w:val="32"/>
          <w:szCs w:val="32"/>
        </w:rPr>
        <w:t>公务接待及公务用车减少，以及单位完善和严格把控公务接待及用车审批制度，有效控制使公务接待费及公务用车运行维护费大幅下降。</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2020年度一般公共预算财政拨款“三公”经费支出决算数32.22万元，比2019年</w:t>
      </w:r>
      <w:r>
        <w:rPr>
          <w:rFonts w:hint="eastAsia" w:ascii="仿宋_GB2312" w:hAnsi="仿宋" w:eastAsia="仿宋_GB2312"/>
          <w:sz w:val="32"/>
          <w:szCs w:val="32"/>
        </w:rPr>
        <w:t>72.38万元</w:t>
      </w:r>
      <w:r>
        <w:rPr>
          <w:rFonts w:hint="eastAsia" w:ascii="仿宋_GB2312" w:hAnsi="仿宋" w:eastAsia="仿宋_GB2312" w:cs="仿宋"/>
          <w:sz w:val="32"/>
          <w:szCs w:val="32"/>
        </w:rPr>
        <w:t>减少</w:t>
      </w:r>
      <w:r>
        <w:rPr>
          <w:rFonts w:hint="eastAsia" w:ascii="仿宋_GB2312" w:hAnsi="仿宋" w:eastAsia="仿宋_GB2312"/>
          <w:sz w:val="32"/>
          <w:szCs w:val="32"/>
        </w:rPr>
        <w:t>40.16</w:t>
      </w:r>
      <w:r>
        <w:rPr>
          <w:rFonts w:hint="eastAsia" w:ascii="仿宋_GB2312" w:hAnsi="仿宋" w:eastAsia="仿宋_GB2312" w:cs="仿宋"/>
          <w:sz w:val="32"/>
          <w:szCs w:val="32"/>
        </w:rPr>
        <w:t>万元，下降55.48%。其中：因公出国（境）费支出决算减少0万元，下降0%；公务用车购置及运行费支出决算数31.95万元，比2019年43.36</w:t>
      </w:r>
      <w:r>
        <w:rPr>
          <w:rFonts w:hint="eastAsia" w:ascii="仿宋_GB2312" w:hAnsi="仿宋" w:eastAsia="仿宋_GB2312"/>
          <w:sz w:val="32"/>
          <w:szCs w:val="32"/>
        </w:rPr>
        <w:t>万元</w:t>
      </w:r>
      <w:r>
        <w:rPr>
          <w:rFonts w:hint="eastAsia" w:ascii="仿宋_GB2312" w:hAnsi="仿宋" w:eastAsia="仿宋_GB2312" w:cs="仿宋"/>
          <w:sz w:val="32"/>
          <w:szCs w:val="32"/>
        </w:rPr>
        <w:t>减少11.41万元，下降26.31%；公务接待费支出决算数0.27万元，较2019年29.02万元减少28.75万元，下降99.07%。2020年度一般公共预算财政拨款“三公”经费支出决算减少的主要原因：按“新冠肺炎”疫情防控要求，公务接待及公务用车减少；</w:t>
      </w:r>
      <w:r>
        <w:rPr>
          <w:rFonts w:hint="eastAsia" w:ascii="仿宋_GB2312" w:hAnsi="仿宋_GB2312" w:eastAsia="仿宋_GB2312" w:cs="仿宋_GB2312"/>
          <w:sz w:val="32"/>
          <w:szCs w:val="32"/>
        </w:rPr>
        <w:t>我单位严格执行按照中央八项规定和《党政机关厉行节约反对浪费条例》等有关文件精神，国务院“约法三章”和“三公”经费只减不增的相关规定，“三公”经费支出不超预算并逐年下降。</w:t>
      </w:r>
    </w:p>
    <w:p>
      <w:pPr>
        <w:spacing w:line="590" w:lineRule="exact"/>
        <w:ind w:firstLine="600"/>
        <w:jc w:val="left"/>
        <w:rPr>
          <w:rFonts w:eastAsia="Times New Roman"/>
          <w:sz w:val="30"/>
          <w:szCs w:val="30"/>
        </w:rPr>
      </w:pPr>
      <w:r>
        <w:rPr>
          <w:rFonts w:ascii="楷体" w:hAnsi="楷体" w:eastAsia="楷体" w:cs="楷体"/>
          <w:sz w:val="30"/>
          <w:szCs w:val="30"/>
        </w:rPr>
        <w:t>(</w:t>
      </w:r>
      <w:r>
        <w:rPr>
          <w:rFonts w:hint="eastAsia" w:ascii="楷体" w:hAnsi="楷体" w:eastAsia="楷体" w:cs="楷体"/>
          <w:sz w:val="30"/>
          <w:szCs w:val="30"/>
        </w:rPr>
        <w:t>二</w:t>
      </w:r>
      <w:r>
        <w:rPr>
          <w:rFonts w:ascii="楷体" w:hAnsi="楷体" w:eastAsia="楷体" w:cs="楷体"/>
          <w:sz w:val="30"/>
          <w:szCs w:val="30"/>
        </w:rPr>
        <w:t>)</w:t>
      </w:r>
      <w:r>
        <w:rPr>
          <w:rFonts w:ascii="仿宋_GB2312" w:hAnsi="仿宋_GB2312" w:eastAsia="仿宋_GB2312" w:cs="仿宋_GB2312"/>
          <w:sz w:val="30"/>
          <w:szCs w:val="30"/>
        </w:rPr>
        <w:t xml:space="preserve"> </w:t>
      </w:r>
      <w:r>
        <w:rPr>
          <w:rFonts w:hint="eastAsia" w:ascii="楷体" w:hAnsi="楷体" w:eastAsia="楷体" w:cs="楷体"/>
          <w:sz w:val="30"/>
          <w:szCs w:val="30"/>
        </w:rPr>
        <w:t>一般公共预算财政拨款“三公”经费支出决算具体情况</w:t>
      </w:r>
    </w:p>
    <w:p>
      <w:pPr>
        <w:spacing w:line="590" w:lineRule="exact"/>
        <w:ind w:firstLine="600"/>
        <w:jc w:val="left"/>
        <w:rPr>
          <w:rFonts w:ascii="仿宋_GB2312" w:eastAsia="仿宋_GB2312"/>
          <w:sz w:val="32"/>
          <w:szCs w:val="32"/>
        </w:rPr>
      </w:pPr>
      <w:r>
        <w:rPr>
          <w:rFonts w:hint="eastAsia" w:ascii="仿宋_GB2312" w:hAnsi="仿宋" w:eastAsia="仿宋_GB2312" w:cs="仿宋"/>
          <w:sz w:val="32"/>
          <w:szCs w:val="32"/>
        </w:rPr>
        <w:t>2020年度</w:t>
      </w:r>
      <w:r>
        <w:rPr>
          <w:rFonts w:hint="eastAsia" w:ascii="仿宋_GB2312" w:hAnsi="仿宋_GB2312" w:eastAsia="仿宋_GB2312" w:cs="仿宋_GB2312"/>
          <w:sz w:val="32"/>
          <w:szCs w:val="32"/>
        </w:rPr>
        <w:t>一</w:t>
      </w:r>
      <w:r>
        <w:rPr>
          <w:rFonts w:hint="eastAsia" w:ascii="仿宋_GB2312" w:hAnsi="仿宋" w:eastAsia="仿宋_GB2312" w:cs="仿宋"/>
          <w:sz w:val="32"/>
          <w:szCs w:val="32"/>
        </w:rPr>
        <w:t>般公共预算财政拨款“三公”经费支出决算中，因公出国（境）费支出0万元，占0%；公务用车购置及运行维护费支出31.95万元，占99.16%；公务接待费支出0.27万元，占0.84%。具体情况如下：</w:t>
      </w:r>
    </w:p>
    <w:p>
      <w:pPr>
        <w:spacing w:line="590" w:lineRule="exact"/>
        <w:ind w:firstLine="602"/>
        <w:rPr>
          <w:rFonts w:ascii="仿宋_GB2312" w:eastAsia="仿宋_GB2312"/>
          <w:color w:val="FF0000"/>
          <w:sz w:val="32"/>
          <w:szCs w:val="32"/>
        </w:rPr>
      </w:pPr>
      <w:r>
        <w:rPr>
          <w:rFonts w:hint="eastAsia" w:ascii="仿宋_GB2312" w:hAnsi="仿宋" w:eastAsia="仿宋_GB2312" w:cs="仿宋"/>
          <w:bCs/>
          <w:sz w:val="32"/>
          <w:szCs w:val="32"/>
        </w:rPr>
        <w:t>1.因公出国（境）费</w:t>
      </w:r>
      <w:r>
        <w:rPr>
          <w:rFonts w:hint="eastAsia" w:ascii="仿宋_GB2312" w:hAnsi="仿宋" w:eastAsia="仿宋_GB2312" w:cs="仿宋"/>
          <w:sz w:val="32"/>
          <w:szCs w:val="32"/>
        </w:rPr>
        <w:t>支出0万元，共安排因公出国（境）团组0个，累计0人次。</w:t>
      </w:r>
    </w:p>
    <w:p>
      <w:pPr>
        <w:spacing w:line="590" w:lineRule="exact"/>
        <w:ind w:firstLine="602"/>
        <w:jc w:val="left"/>
        <w:rPr>
          <w:rFonts w:ascii="仿宋_GB2312" w:eastAsia="仿宋_GB2312"/>
          <w:sz w:val="32"/>
          <w:szCs w:val="32"/>
        </w:rPr>
      </w:pPr>
      <w:r>
        <w:rPr>
          <w:rFonts w:hint="eastAsia" w:ascii="仿宋_GB2312" w:hAnsi="仿宋" w:eastAsia="仿宋_GB2312" w:cs="仿宋"/>
          <w:bCs/>
          <w:sz w:val="32"/>
          <w:szCs w:val="32"/>
        </w:rPr>
        <w:t>2.公务用车购置及运行维护费</w:t>
      </w:r>
      <w:r>
        <w:rPr>
          <w:rFonts w:hint="eastAsia" w:ascii="仿宋_GB2312" w:hAnsi="仿宋" w:eastAsia="仿宋_GB2312" w:cs="仿宋"/>
          <w:sz w:val="32"/>
          <w:szCs w:val="32"/>
        </w:rPr>
        <w:t>支出31.95万元。其中：</w:t>
      </w:r>
    </w:p>
    <w:p>
      <w:pPr>
        <w:spacing w:line="590" w:lineRule="exact"/>
        <w:ind w:firstLine="602"/>
        <w:rPr>
          <w:rFonts w:ascii="仿宋_GB2312" w:eastAsia="仿宋_GB2312"/>
          <w:color w:val="FF0000"/>
          <w:sz w:val="32"/>
          <w:szCs w:val="32"/>
        </w:rPr>
      </w:pPr>
      <w:r>
        <w:rPr>
          <w:rFonts w:hint="eastAsia" w:ascii="仿宋_GB2312" w:hAnsi="仿宋" w:eastAsia="仿宋_GB2312" w:cs="仿宋"/>
          <w:bCs/>
          <w:sz w:val="32"/>
          <w:szCs w:val="32"/>
        </w:rPr>
        <w:t>公务用车购置</w:t>
      </w:r>
      <w:r>
        <w:rPr>
          <w:rFonts w:hint="eastAsia" w:ascii="仿宋_GB2312" w:hAnsi="仿宋" w:eastAsia="仿宋_GB2312" w:cs="仿宋"/>
          <w:sz w:val="32"/>
          <w:szCs w:val="32"/>
        </w:rPr>
        <w:t>支出0万元，购置车辆0辆。</w:t>
      </w:r>
      <w:r>
        <w:rPr>
          <w:rFonts w:hint="eastAsia" w:ascii="仿宋_GB2312" w:hAnsi="仿宋" w:eastAsia="仿宋_GB2312" w:cs="仿宋"/>
          <w:color w:val="FF0000"/>
          <w:sz w:val="32"/>
          <w:szCs w:val="32"/>
        </w:rPr>
        <w:t xml:space="preserve"> </w:t>
      </w:r>
    </w:p>
    <w:p>
      <w:pPr>
        <w:snapToGrid w:val="0"/>
        <w:spacing w:before="100" w:after="100" w:line="360" w:lineRule="auto"/>
        <w:ind w:firstLine="640" w:firstLineChars="200"/>
        <w:jc w:val="left"/>
        <w:rPr>
          <w:rFonts w:ascii="仿宋_GB2312" w:hAnsi="仿宋" w:eastAsia="仿宋_GB2312" w:cs="仿宋"/>
          <w:sz w:val="32"/>
          <w:szCs w:val="32"/>
        </w:rPr>
      </w:pPr>
      <w:r>
        <w:rPr>
          <w:rFonts w:hint="eastAsia" w:ascii="仿宋_GB2312" w:hAnsi="仿宋" w:eastAsia="仿宋_GB2312" w:cs="仿宋"/>
          <w:bCs/>
          <w:sz w:val="32"/>
          <w:szCs w:val="32"/>
        </w:rPr>
        <w:t>公务用车运行维护</w:t>
      </w:r>
      <w:r>
        <w:rPr>
          <w:rFonts w:hint="eastAsia" w:ascii="仿宋_GB2312" w:hAnsi="仿宋" w:eastAsia="仿宋_GB2312" w:cs="仿宋"/>
          <w:sz w:val="32"/>
          <w:szCs w:val="32"/>
        </w:rPr>
        <w:t>支出31.95万元，主要用于</w:t>
      </w:r>
      <w:r>
        <w:rPr>
          <w:rFonts w:hint="eastAsia" w:ascii="仿宋_GB2312" w:eastAsia="仿宋_GB2312" w:cs="仿宋_GB2312"/>
          <w:sz w:val="32"/>
          <w:szCs w:val="32"/>
        </w:rPr>
        <w:t>监狱监管改造，执法执勤等相关工作所需车辆燃料费、维修费、过路过桥费、保险费等</w:t>
      </w:r>
      <w:r>
        <w:rPr>
          <w:rFonts w:hint="eastAsia" w:ascii="仿宋_GB2312" w:hAnsi="仿宋" w:eastAsia="仿宋_GB2312" w:cs="仿宋"/>
          <w:sz w:val="32"/>
          <w:szCs w:val="32"/>
        </w:rPr>
        <w:t>。</w:t>
      </w:r>
    </w:p>
    <w:p>
      <w:pPr>
        <w:snapToGrid w:val="0"/>
        <w:spacing w:before="100" w:after="100" w:line="360" w:lineRule="auto"/>
        <w:ind w:firstLine="640" w:firstLineChars="200"/>
        <w:jc w:val="left"/>
        <w:rPr>
          <w:rFonts w:ascii="仿宋_GB2312" w:hAnsi="仿宋" w:eastAsia="仿宋_GB2312" w:cs="仿宋"/>
          <w:sz w:val="32"/>
          <w:szCs w:val="32"/>
        </w:rPr>
      </w:pPr>
      <w:r>
        <w:rPr>
          <w:rFonts w:hint="eastAsia" w:ascii="仿宋_GB2312" w:hAnsi="仿宋" w:eastAsia="仿宋_GB2312" w:cs="仿宋"/>
          <w:bCs/>
          <w:sz w:val="32"/>
          <w:szCs w:val="32"/>
        </w:rPr>
        <w:t>3.公务接待费</w:t>
      </w:r>
      <w:r>
        <w:rPr>
          <w:rFonts w:hint="eastAsia" w:ascii="仿宋_GB2312" w:hAnsi="仿宋" w:eastAsia="仿宋_GB2312" w:cs="仿宋"/>
          <w:sz w:val="32"/>
          <w:szCs w:val="32"/>
        </w:rPr>
        <w:t>0.27万元。其中：</w:t>
      </w:r>
    </w:p>
    <w:p>
      <w:pPr>
        <w:snapToGrid w:val="0"/>
        <w:spacing w:before="100" w:after="100" w:line="360" w:lineRule="auto"/>
        <w:ind w:firstLine="640" w:firstLineChars="200"/>
        <w:jc w:val="left"/>
        <w:rPr>
          <w:rFonts w:ascii="仿宋_GB2312" w:eastAsia="仿宋_GB2312"/>
          <w:sz w:val="32"/>
          <w:szCs w:val="32"/>
        </w:rPr>
      </w:pPr>
      <w:r>
        <w:rPr>
          <w:rFonts w:hint="eastAsia" w:ascii="仿宋_GB2312" w:hAnsi="仿宋" w:eastAsia="仿宋_GB2312" w:cs="仿宋"/>
          <w:bCs/>
          <w:sz w:val="32"/>
          <w:szCs w:val="32"/>
        </w:rPr>
        <w:t>国内接待费</w:t>
      </w:r>
      <w:r>
        <w:rPr>
          <w:rFonts w:hint="eastAsia" w:ascii="仿宋_GB2312" w:hAnsi="仿宋" w:eastAsia="仿宋_GB2312" w:cs="仿宋"/>
          <w:sz w:val="32"/>
          <w:szCs w:val="32"/>
        </w:rPr>
        <w:t>支出0.27万元（其中：外事接待费支出0万元），共安排国内公务接待4批次（其中：外事接待0批次），接待人次57人（其中：外事接待人次0人）。</w:t>
      </w:r>
      <w:r>
        <w:rPr>
          <w:rFonts w:hint="eastAsia" w:ascii="仿宋_GB2312" w:eastAsia="仿宋_GB2312" w:cs="仿宋_GB2312"/>
          <w:sz w:val="32"/>
          <w:szCs w:val="32"/>
        </w:rPr>
        <w:t>主要用于</w:t>
      </w:r>
      <w:r>
        <w:rPr>
          <w:rFonts w:hint="eastAsia" w:ascii="仿宋_GB2312" w:hAnsi="仿宋_GB2312" w:eastAsia="仿宋_GB2312" w:cs="仿宋_GB2312"/>
          <w:sz w:val="32"/>
          <w:szCs w:val="32"/>
        </w:rPr>
        <w:t>监狱完成工作任务，因公务活动发生的正常的公务接待费用</w:t>
      </w:r>
      <w:r>
        <w:rPr>
          <w:rFonts w:hint="eastAsia" w:ascii="仿宋_GB2312" w:eastAsia="仿宋_GB2312" w:cs="仿宋_GB2312"/>
          <w:sz w:val="32"/>
          <w:szCs w:val="32"/>
        </w:rPr>
        <w:t>。</w:t>
      </w:r>
    </w:p>
    <w:p>
      <w:pPr>
        <w:spacing w:line="590" w:lineRule="exact"/>
        <w:ind w:firstLine="602"/>
        <w:rPr>
          <w:rFonts w:ascii="仿宋_GB2312" w:hAnsi="仿宋" w:eastAsia="仿宋_GB2312" w:cs="仿宋"/>
          <w:sz w:val="32"/>
          <w:szCs w:val="32"/>
        </w:rPr>
      </w:pPr>
      <w:r>
        <w:rPr>
          <w:rFonts w:hint="eastAsia" w:ascii="仿宋_GB2312" w:hAnsi="仿宋" w:eastAsia="仿宋_GB2312" w:cs="仿宋"/>
          <w:bCs/>
          <w:sz w:val="32"/>
          <w:szCs w:val="32"/>
        </w:rPr>
        <w:t>国（境）外接待费</w:t>
      </w:r>
      <w:r>
        <w:rPr>
          <w:rFonts w:hint="eastAsia" w:ascii="仿宋_GB2312" w:hAnsi="仿宋" w:eastAsia="仿宋_GB2312" w:cs="仿宋"/>
          <w:sz w:val="32"/>
          <w:szCs w:val="32"/>
        </w:rPr>
        <w:t>0万元，共安排国（境）外公务接待0批次，接待人次0人。</w:t>
      </w:r>
    </w:p>
    <w:p>
      <w:pPr>
        <w:pStyle w:val="2"/>
        <w:ind w:left="210" w:right="210"/>
      </w:pPr>
    </w:p>
    <w:p>
      <w:pPr>
        <w:spacing w:line="590" w:lineRule="exact"/>
        <w:jc w:val="center"/>
        <w:rPr>
          <w:rFonts w:eastAsia="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其他重要事项及相关口径情况说明</w:t>
      </w:r>
    </w:p>
    <w:p>
      <w:pPr>
        <w:spacing w:line="590" w:lineRule="exact"/>
        <w:ind w:firstLine="600"/>
        <w:jc w:val="left"/>
        <w:rPr>
          <w:rFonts w:eastAsia="Times New Roman"/>
          <w:sz w:val="30"/>
          <w:szCs w:val="30"/>
        </w:rPr>
      </w:pPr>
      <w:r>
        <w:rPr>
          <w:rFonts w:hint="eastAsia" w:ascii="黑体" w:hAnsi="黑体" w:eastAsia="黑体" w:cs="黑体"/>
          <w:sz w:val="30"/>
          <w:szCs w:val="30"/>
        </w:rPr>
        <w:t>一、机关运行经费支出情况</w:t>
      </w:r>
    </w:p>
    <w:p>
      <w:pPr>
        <w:spacing w:line="590" w:lineRule="exact"/>
        <w:ind w:firstLine="600"/>
        <w:rPr>
          <w:rFonts w:ascii="仿宋" w:hAnsi="仿宋" w:eastAsia="仿宋" w:cs="仿宋"/>
          <w:color w:val="FF0000"/>
          <w:sz w:val="30"/>
          <w:szCs w:val="30"/>
        </w:rPr>
      </w:pPr>
      <w:r>
        <w:rPr>
          <w:rFonts w:hint="eastAsia" w:ascii="仿宋_GB2312" w:hAnsi="仿宋" w:eastAsia="仿宋_GB2312" w:cs="仿宋"/>
          <w:sz w:val="32"/>
          <w:szCs w:val="32"/>
        </w:rPr>
        <w:t>云南省第四监狱2020年机关运行经费支出1966.79万元，</w:t>
      </w:r>
      <w:r>
        <w:rPr>
          <w:rFonts w:hint="eastAsia" w:ascii="仿宋_GB2312" w:hAnsi="仿宋_GB2312" w:eastAsia="仿宋_GB2312" w:cs="仿宋_GB2312"/>
          <w:sz w:val="32"/>
          <w:szCs w:val="32"/>
        </w:rPr>
        <w:t>与上年对比增加51.34万元，主要原因为：</w:t>
      </w:r>
      <w:r>
        <w:rPr>
          <w:rFonts w:hint="eastAsia" w:ascii="仿宋_GB2312" w:hAnsi="仿宋" w:eastAsia="仿宋_GB2312" w:cs="仿宋"/>
          <w:color w:val="000000"/>
          <w:sz w:val="32"/>
          <w:szCs w:val="32"/>
        </w:rPr>
        <w:t>2020年“新冠肺炎”疫情影响，单位严格执行疫情防控要求，工作任务同比更重</w:t>
      </w:r>
      <w:r>
        <w:rPr>
          <w:rFonts w:hint="eastAsia" w:ascii="仿宋_GB2312" w:hAnsi="仿宋_GB2312" w:eastAsia="仿宋_GB2312" w:cs="仿宋_GB2312"/>
          <w:sz w:val="32"/>
          <w:szCs w:val="32"/>
        </w:rPr>
        <w:t>。部门机关运行经费主要用于保障监狱开展日常工作所需经费，具体为：办公费、水电费、物业管理费、差旅费、维修费、“三公”经费、其他交通费、福利费、工会经费等。</w:t>
      </w:r>
    </w:p>
    <w:p>
      <w:pPr>
        <w:spacing w:line="590" w:lineRule="exact"/>
        <w:ind w:firstLine="600"/>
        <w:jc w:val="left"/>
        <w:rPr>
          <w:rFonts w:eastAsia="Times New Roman"/>
          <w:sz w:val="30"/>
          <w:szCs w:val="30"/>
        </w:rPr>
      </w:pPr>
      <w:r>
        <w:rPr>
          <w:rFonts w:hint="eastAsia" w:ascii="黑体" w:hAnsi="黑体" w:eastAsia="黑体" w:cs="黑体"/>
          <w:sz w:val="30"/>
          <w:szCs w:val="30"/>
        </w:rPr>
        <w:t>二、</w:t>
      </w:r>
      <w:r>
        <w:rPr>
          <w:rFonts w:hint="eastAsia" w:ascii="黑体" w:hAnsi="黑体" w:eastAsia="黑体" w:cs="黑体"/>
          <w:color w:val="000000"/>
          <w:kern w:val="0"/>
          <w:sz w:val="30"/>
          <w:szCs w:val="30"/>
        </w:rPr>
        <w:t>国有资产占用情况</w:t>
      </w:r>
    </w:p>
    <w:p>
      <w:pPr>
        <w:spacing w:line="590" w:lineRule="exact"/>
        <w:ind w:firstLine="600"/>
        <w:jc w:val="left"/>
        <w:rPr>
          <w:rFonts w:ascii="仿宋_GB2312" w:hAnsi="仿宋" w:eastAsia="仿宋_GB2312" w:cs="仿宋"/>
          <w:kern w:val="0"/>
          <w:sz w:val="32"/>
          <w:szCs w:val="32"/>
        </w:rPr>
      </w:pPr>
      <w:r>
        <w:rPr>
          <w:rFonts w:hint="eastAsia" w:ascii="仿宋_GB2312" w:hAnsi="仿宋" w:eastAsia="仿宋_GB2312" w:cs="仿宋"/>
          <w:sz w:val="32"/>
          <w:szCs w:val="32"/>
        </w:rPr>
        <w:t>截至2020年12月31日，云南省第四监狱资产总额</w:t>
      </w:r>
      <w:r>
        <w:rPr>
          <w:rFonts w:hint="eastAsia" w:ascii="仿宋_GB2312" w:hAnsi="仿宋" w:eastAsia="仿宋_GB2312"/>
          <w:sz w:val="32"/>
          <w:szCs w:val="32"/>
        </w:rPr>
        <w:t>35068.36万</w:t>
      </w:r>
      <w:r>
        <w:rPr>
          <w:rFonts w:hint="eastAsia" w:ascii="仿宋_GB2312" w:hAnsi="仿宋" w:eastAsia="仿宋_GB2312" w:cs="仿宋"/>
          <w:kern w:val="0"/>
          <w:sz w:val="32"/>
          <w:szCs w:val="32"/>
        </w:rPr>
        <w:t>元</w:t>
      </w:r>
      <w:r>
        <w:rPr>
          <w:rFonts w:hint="eastAsia" w:ascii="仿宋_GB2312" w:hAnsi="仿宋" w:eastAsia="仿宋_GB2312" w:cs="仿宋"/>
          <w:sz w:val="32"/>
          <w:szCs w:val="32"/>
        </w:rPr>
        <w:t>，其中，流动资产13401.17万</w:t>
      </w:r>
      <w:r>
        <w:rPr>
          <w:rFonts w:hint="eastAsia" w:ascii="仿宋_GB2312" w:hAnsi="仿宋" w:eastAsia="仿宋_GB2312" w:cs="仿宋"/>
          <w:kern w:val="0"/>
          <w:sz w:val="32"/>
          <w:szCs w:val="32"/>
        </w:rPr>
        <w:t>元</w:t>
      </w:r>
      <w:r>
        <w:rPr>
          <w:rFonts w:hint="eastAsia" w:ascii="仿宋_GB2312" w:hAnsi="仿宋" w:eastAsia="仿宋_GB2312" w:cs="仿宋"/>
          <w:sz w:val="32"/>
          <w:szCs w:val="32"/>
        </w:rPr>
        <w:t>，固定资产7065.58万</w:t>
      </w:r>
      <w:r>
        <w:rPr>
          <w:rFonts w:hint="eastAsia" w:ascii="仿宋_GB2312" w:hAnsi="仿宋" w:eastAsia="仿宋_GB2312" w:cs="仿宋"/>
          <w:kern w:val="0"/>
          <w:sz w:val="32"/>
          <w:szCs w:val="32"/>
        </w:rPr>
        <w:t>元</w:t>
      </w:r>
      <w:r>
        <w:rPr>
          <w:rFonts w:hint="eastAsia" w:ascii="仿宋_GB2312" w:hAnsi="仿宋" w:eastAsia="仿宋_GB2312" w:cs="仿宋"/>
          <w:sz w:val="32"/>
          <w:szCs w:val="32"/>
        </w:rPr>
        <w:t>，</w:t>
      </w:r>
      <w:r>
        <w:rPr>
          <w:rFonts w:hint="eastAsia" w:ascii="仿宋_GB2312" w:hAnsi="仿宋" w:eastAsia="仿宋_GB2312" w:cs="仿宋"/>
          <w:kern w:val="0"/>
          <w:sz w:val="32"/>
          <w:szCs w:val="32"/>
        </w:rPr>
        <w:t>对外投资及有价证券0万元</w:t>
      </w:r>
      <w:r>
        <w:rPr>
          <w:rFonts w:hint="eastAsia" w:ascii="仿宋_GB2312" w:hAnsi="仿宋" w:eastAsia="仿宋_GB2312" w:cs="仿宋"/>
          <w:sz w:val="32"/>
          <w:szCs w:val="32"/>
        </w:rPr>
        <w:t>，在建工程14600.01万</w:t>
      </w:r>
      <w:r>
        <w:rPr>
          <w:rFonts w:hint="eastAsia" w:ascii="仿宋_GB2312" w:hAnsi="仿宋" w:eastAsia="仿宋_GB2312" w:cs="仿宋"/>
          <w:kern w:val="0"/>
          <w:sz w:val="32"/>
          <w:szCs w:val="32"/>
        </w:rPr>
        <w:t>元</w:t>
      </w:r>
      <w:r>
        <w:rPr>
          <w:rFonts w:hint="eastAsia" w:ascii="仿宋_GB2312" w:hAnsi="仿宋" w:eastAsia="仿宋_GB2312" w:cs="仿宋"/>
          <w:sz w:val="32"/>
          <w:szCs w:val="32"/>
        </w:rPr>
        <w:t>，无形资产1.6万</w:t>
      </w:r>
      <w:r>
        <w:rPr>
          <w:rFonts w:hint="eastAsia" w:ascii="仿宋_GB2312" w:hAnsi="仿宋" w:eastAsia="仿宋_GB2312" w:cs="仿宋"/>
          <w:kern w:val="0"/>
          <w:sz w:val="32"/>
          <w:szCs w:val="32"/>
        </w:rPr>
        <w:t>元</w:t>
      </w:r>
      <w:r>
        <w:rPr>
          <w:rFonts w:hint="eastAsia" w:ascii="仿宋_GB2312" w:hAnsi="仿宋" w:eastAsia="仿宋_GB2312" w:cs="仿宋"/>
          <w:sz w:val="32"/>
          <w:szCs w:val="32"/>
        </w:rPr>
        <w:t>，其他资产0</w:t>
      </w:r>
      <w:r>
        <w:rPr>
          <w:rFonts w:hint="eastAsia" w:ascii="仿宋_GB2312" w:hAnsi="仿宋" w:eastAsia="仿宋_GB2312" w:cs="仿宋"/>
          <w:kern w:val="0"/>
          <w:sz w:val="32"/>
          <w:szCs w:val="32"/>
        </w:rPr>
        <w:t>元</w:t>
      </w:r>
      <w:r>
        <w:rPr>
          <w:rFonts w:hint="eastAsia" w:ascii="仿宋_GB2312" w:hAnsi="仿宋" w:eastAsia="仿宋_GB2312" w:cs="仿宋"/>
          <w:sz w:val="32"/>
          <w:szCs w:val="32"/>
        </w:rPr>
        <w:t>（具体内容详见附表）。</w:t>
      </w:r>
      <w:r>
        <w:rPr>
          <w:rFonts w:hint="eastAsia" w:ascii="仿宋_GB2312" w:hAnsi="仿宋" w:eastAsia="仿宋_GB2312" w:cs="仿宋"/>
          <w:kern w:val="0"/>
          <w:sz w:val="32"/>
          <w:szCs w:val="32"/>
        </w:rPr>
        <w:t>与上年相比，本年资产总额增加8423.84万元，其中固定资产减少1631.62万元。处置房屋建筑物5497.95平方米，账面原值1201.53万元；处置车辆6辆，账面原值49.83万元；报废报损资产0项，账面原值0万元，实现资产处置收入0万元；出租房屋0平方米，账面原值0万元，实现资产使用收入0万元。</w:t>
      </w:r>
    </w:p>
    <w:p>
      <w:pPr>
        <w:pStyle w:val="15"/>
        <w:spacing w:line="540" w:lineRule="exact"/>
        <w:rPr>
          <w:rFonts w:ascii="仿宋" w:hAnsi="仿宋" w:eastAsia="仿宋" w:cs="仿宋"/>
          <w:color w:val="FF0000"/>
          <w:sz w:val="30"/>
          <w:szCs w:val="30"/>
        </w:rPr>
      </w:pPr>
    </w:p>
    <w:tbl>
      <w:tblPr>
        <w:tblStyle w:val="16"/>
        <w:tblW w:w="9121" w:type="dxa"/>
        <w:tblInd w:w="113" w:type="dxa"/>
        <w:tblLayout w:type="fixed"/>
        <w:tblCellMar>
          <w:top w:w="15" w:type="dxa"/>
          <w:left w:w="15" w:type="dxa"/>
          <w:bottom w:w="15" w:type="dxa"/>
          <w:right w:w="15" w:type="dxa"/>
        </w:tblCellMar>
      </w:tblPr>
      <w:tblGrid>
        <w:gridCol w:w="616"/>
        <w:gridCol w:w="425"/>
        <w:gridCol w:w="851"/>
        <w:gridCol w:w="850"/>
        <w:gridCol w:w="709"/>
        <w:gridCol w:w="44"/>
        <w:gridCol w:w="668"/>
        <w:gridCol w:w="139"/>
        <w:gridCol w:w="548"/>
        <w:gridCol w:w="160"/>
        <w:gridCol w:w="508"/>
        <w:gridCol w:w="201"/>
        <w:gridCol w:w="851"/>
        <w:gridCol w:w="567"/>
        <w:gridCol w:w="850"/>
        <w:gridCol w:w="567"/>
        <w:gridCol w:w="567"/>
      </w:tblGrid>
      <w:tr>
        <w:tblPrEx>
          <w:tblCellMar>
            <w:top w:w="15" w:type="dxa"/>
            <w:left w:w="15" w:type="dxa"/>
            <w:bottom w:w="15" w:type="dxa"/>
            <w:right w:w="15" w:type="dxa"/>
          </w:tblCellMar>
        </w:tblPrEx>
        <w:trPr>
          <w:trHeight w:val="441" w:hRule="atLeast"/>
        </w:trPr>
        <w:tc>
          <w:tcPr>
            <w:tcW w:w="9121" w:type="dxa"/>
            <w:gridSpan w:val="17"/>
            <w:shd w:val="clear" w:color="auto" w:fill="FFFFFF"/>
            <w:tcMar>
              <w:top w:w="20" w:type="dxa"/>
              <w:left w:w="20" w:type="dxa"/>
              <w:bottom w:w="20" w:type="dxa"/>
              <w:right w:w="20" w:type="dxa"/>
            </w:tcMar>
            <w:vAlign w:val="center"/>
          </w:tcPr>
          <w:p>
            <w:pPr>
              <w:jc w:val="center"/>
              <w:textAlignment w:val="center"/>
              <w:rPr>
                <w:rFonts w:ascii="等线" w:hAnsi="等线" w:eastAsia="等线" w:cs="等线"/>
                <w:color w:val="000000"/>
                <w:kern w:val="0"/>
                <w:sz w:val="21"/>
              </w:rPr>
            </w:pPr>
            <w:r>
              <w:rPr>
                <w:rFonts w:hint="eastAsia" w:ascii="仿宋_GB2312" w:hAnsi="宋体" w:eastAsia="仿宋_GB2312" w:cs="仿宋_GB2312"/>
                <w:b/>
                <w:color w:val="000000"/>
                <w:kern w:val="0"/>
                <w:sz w:val="30"/>
                <w:szCs w:val="30"/>
              </w:rPr>
              <w:t>国有资产占有使用情况表</w:t>
            </w:r>
          </w:p>
        </w:tc>
      </w:tr>
      <w:tr>
        <w:tblPrEx>
          <w:tblCellMar>
            <w:top w:w="15" w:type="dxa"/>
            <w:left w:w="15" w:type="dxa"/>
            <w:bottom w:w="15" w:type="dxa"/>
            <w:right w:w="15" w:type="dxa"/>
          </w:tblCellMar>
        </w:tblPrEx>
        <w:trPr>
          <w:trHeight w:val="323" w:hRule="atLeast"/>
        </w:trPr>
        <w:tc>
          <w:tcPr>
            <w:tcW w:w="616" w:type="dxa"/>
            <w:tcBorders>
              <w:bottom w:val="single" w:color="000000" w:sz="4" w:space="0"/>
            </w:tcBorders>
            <w:shd w:val="clear" w:color="auto" w:fill="FFFFFF"/>
            <w:tcMar>
              <w:top w:w="20" w:type="dxa"/>
              <w:left w:w="20" w:type="dxa"/>
              <w:bottom w:w="20" w:type="dxa"/>
              <w:right w:w="20" w:type="dxa"/>
            </w:tcMar>
            <w:vAlign w:val="center"/>
          </w:tcPr>
          <w:p>
            <w:pPr>
              <w:rPr>
                <w:rFonts w:ascii="等线" w:hAnsi="等线" w:eastAsia="等线" w:cs="等线"/>
                <w:color w:val="000000"/>
                <w:kern w:val="0"/>
                <w:sz w:val="21"/>
              </w:rPr>
            </w:pPr>
          </w:p>
        </w:tc>
        <w:tc>
          <w:tcPr>
            <w:tcW w:w="425" w:type="dxa"/>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851" w:type="dxa"/>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850" w:type="dxa"/>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753" w:type="dxa"/>
            <w:gridSpan w:val="2"/>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668" w:type="dxa"/>
            <w:tcBorders>
              <w:bottom w:val="single" w:color="000000" w:sz="4" w:space="0"/>
            </w:tcBorders>
            <w:shd w:val="clear" w:color="auto" w:fill="FFFFFF"/>
            <w:tcMar>
              <w:top w:w="20" w:type="dxa"/>
              <w:left w:w="20" w:type="dxa"/>
              <w:bottom w:w="20" w:type="dxa"/>
              <w:right w:w="20" w:type="dxa"/>
            </w:tcMar>
            <w:vAlign w:val="center"/>
          </w:tcPr>
          <w:p>
            <w:pPr>
              <w:rPr>
                <w:rFonts w:ascii="等线" w:hAnsi="等线" w:eastAsia="等线" w:cs="等线"/>
                <w:color w:val="000000"/>
                <w:kern w:val="0"/>
                <w:sz w:val="21"/>
              </w:rPr>
            </w:pPr>
          </w:p>
        </w:tc>
        <w:tc>
          <w:tcPr>
            <w:tcW w:w="687" w:type="dxa"/>
            <w:gridSpan w:val="2"/>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668" w:type="dxa"/>
            <w:gridSpan w:val="2"/>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1052" w:type="dxa"/>
            <w:gridSpan w:val="2"/>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567" w:type="dxa"/>
            <w:tcBorders>
              <w:bottom w:val="single" w:color="000000" w:sz="4" w:space="0"/>
            </w:tcBorders>
            <w:shd w:val="clear" w:color="auto" w:fill="FFFFFF"/>
            <w:tcMar>
              <w:top w:w="20" w:type="dxa"/>
              <w:left w:w="20" w:type="dxa"/>
              <w:bottom w:w="20" w:type="dxa"/>
              <w:right w:w="20" w:type="dxa"/>
            </w:tcMar>
            <w:vAlign w:val="center"/>
          </w:tcPr>
          <w:p>
            <w:pPr>
              <w:rPr>
                <w:rFonts w:ascii="等线" w:hAnsi="等线" w:eastAsia="等线" w:cs="等线"/>
                <w:color w:val="000000"/>
                <w:kern w:val="0"/>
                <w:sz w:val="21"/>
              </w:rPr>
            </w:pPr>
          </w:p>
        </w:tc>
        <w:tc>
          <w:tcPr>
            <w:tcW w:w="850" w:type="dxa"/>
            <w:tcBorders>
              <w:bottom w:val="single" w:color="000000" w:sz="4" w:space="0"/>
            </w:tcBorders>
            <w:shd w:val="clear" w:color="auto" w:fill="FFFFFF"/>
            <w:tcMar>
              <w:top w:w="20" w:type="dxa"/>
              <w:left w:w="20" w:type="dxa"/>
              <w:bottom w:w="20" w:type="dxa"/>
              <w:right w:w="20" w:type="dxa"/>
            </w:tcMar>
            <w:vAlign w:val="center"/>
          </w:tcPr>
          <w:p>
            <w:pPr>
              <w:rPr>
                <w:kern w:val="0"/>
                <w:sz w:val="20"/>
              </w:rPr>
            </w:pPr>
          </w:p>
        </w:tc>
        <w:tc>
          <w:tcPr>
            <w:tcW w:w="1134" w:type="dxa"/>
            <w:gridSpan w:val="2"/>
            <w:tcBorders>
              <w:bottom w:val="single" w:color="000000" w:sz="4" w:space="0"/>
            </w:tcBorders>
            <w:shd w:val="clear" w:color="auto" w:fill="FFFFFF"/>
            <w:tcMar>
              <w:top w:w="20" w:type="dxa"/>
              <w:left w:w="20" w:type="dxa"/>
              <w:bottom w:w="20" w:type="dxa"/>
              <w:right w:w="20" w:type="dxa"/>
            </w:tcMar>
            <w:vAlign w:val="center"/>
          </w:tcPr>
          <w:p>
            <w:pPr>
              <w:jc w:val="left"/>
              <w:textAlignment w:val="center"/>
              <w:rPr>
                <w:kern w:val="0"/>
                <w:sz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328" w:hRule="atLeast"/>
        </w:trPr>
        <w:tc>
          <w:tcPr>
            <w:tcW w:w="616" w:type="dxa"/>
            <w:vMerge w:val="restart"/>
            <w:tcBorders>
              <w:left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项目</w:t>
            </w:r>
          </w:p>
        </w:tc>
        <w:tc>
          <w:tcPr>
            <w:tcW w:w="425" w:type="dxa"/>
            <w:vMerge w:val="restart"/>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行次</w:t>
            </w:r>
          </w:p>
        </w:tc>
        <w:tc>
          <w:tcPr>
            <w:tcW w:w="851"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资产总额</w:t>
            </w:r>
          </w:p>
        </w:tc>
        <w:tc>
          <w:tcPr>
            <w:tcW w:w="850"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流动资产</w:t>
            </w:r>
          </w:p>
        </w:tc>
        <w:tc>
          <w:tcPr>
            <w:tcW w:w="3828" w:type="dxa"/>
            <w:gridSpan w:val="9"/>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jc w:val="center"/>
              <w:textAlignment w:val="center"/>
              <w:rPr>
                <w:kern w:val="0"/>
                <w:sz w:val="20"/>
              </w:rPr>
            </w:pPr>
            <w:r>
              <w:rPr>
                <w:rFonts w:hint="eastAsia" w:ascii="宋体" w:hAnsi="宋体" w:cs="宋体"/>
                <w:color w:val="000000"/>
                <w:kern w:val="0"/>
                <w:sz w:val="20"/>
                <w:szCs w:val="20"/>
              </w:rPr>
              <w:t>固定资产</w:t>
            </w:r>
          </w:p>
        </w:tc>
        <w:tc>
          <w:tcPr>
            <w:tcW w:w="567"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对外投资/有价证券</w:t>
            </w:r>
          </w:p>
        </w:tc>
        <w:tc>
          <w:tcPr>
            <w:tcW w:w="850"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在建工程</w:t>
            </w:r>
          </w:p>
        </w:tc>
        <w:tc>
          <w:tcPr>
            <w:tcW w:w="567"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无形资 产</w:t>
            </w:r>
          </w:p>
        </w:tc>
        <w:tc>
          <w:tcPr>
            <w:tcW w:w="567" w:type="dxa"/>
            <w:vMerge w:val="restart"/>
            <w:tcBorders>
              <w:top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其他资 产</w:t>
            </w:r>
          </w:p>
        </w:tc>
      </w:tr>
      <w:tr>
        <w:tblPrEx>
          <w:tblCellMar>
            <w:top w:w="15" w:type="dxa"/>
            <w:left w:w="15" w:type="dxa"/>
            <w:bottom w:w="15" w:type="dxa"/>
            <w:right w:w="15" w:type="dxa"/>
          </w:tblCellMar>
        </w:tblPrEx>
        <w:trPr>
          <w:trHeight w:val="1381" w:hRule="atLeast"/>
        </w:trPr>
        <w:tc>
          <w:tcPr>
            <w:tcW w:w="616" w:type="dxa"/>
            <w:vMerge w:val="continue"/>
            <w:tcBorders>
              <w:left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425" w:type="dxa"/>
            <w:vMerge w:val="continue"/>
            <w:tcBorders>
              <w:bottom w:val="single" w:color="000000" w:sz="4" w:space="0"/>
              <w:right w:val="single" w:color="000000" w:sz="4" w:space="0"/>
            </w:tcBorders>
            <w:vAlign w:val="center"/>
          </w:tcPr>
          <w:p>
            <w:pPr>
              <w:rPr>
                <w:rFonts w:ascii="宋体" w:hAnsi="宋体" w:cs="宋体"/>
                <w:color w:val="000000"/>
                <w:kern w:val="0"/>
                <w:sz w:val="20"/>
                <w:szCs w:val="20"/>
              </w:rPr>
            </w:pPr>
          </w:p>
        </w:tc>
        <w:tc>
          <w:tcPr>
            <w:tcW w:w="851" w:type="dxa"/>
            <w:vMerge w:val="continue"/>
            <w:tcBorders>
              <w:top w:val="single" w:color="000000" w:sz="4" w:space="0"/>
              <w:bottom w:val="single" w:color="000000" w:sz="4" w:space="0"/>
              <w:right w:val="single" w:color="000000" w:sz="4" w:space="0"/>
            </w:tcBorders>
            <w:vAlign w:val="center"/>
          </w:tcPr>
          <w:p>
            <w:pPr>
              <w:rPr>
                <w:rFonts w:ascii="等线" w:hAnsi="等线" w:eastAsia="等线" w:cs="等线"/>
                <w:color w:val="000000"/>
                <w:kern w:val="0"/>
                <w:sz w:val="21"/>
              </w:rPr>
            </w:pPr>
          </w:p>
        </w:tc>
        <w:tc>
          <w:tcPr>
            <w:tcW w:w="850" w:type="dxa"/>
            <w:vMerge w:val="continue"/>
            <w:tcBorders>
              <w:bottom w:val="single" w:color="000000" w:sz="4" w:space="0"/>
              <w:right w:val="single" w:color="000000" w:sz="4" w:space="0"/>
            </w:tcBorders>
            <w:tcMar>
              <w:top w:w="20" w:type="dxa"/>
              <w:left w:w="20" w:type="dxa"/>
              <w:bottom w:w="20" w:type="dxa"/>
              <w:right w:w="20" w:type="dxa"/>
            </w:tcMar>
            <w:vAlign w:val="center"/>
          </w:tcPr>
          <w:p>
            <w:pPr>
              <w:rPr>
                <w:rFonts w:ascii="等线" w:hAnsi="等线" w:eastAsia="等线" w:cs="等线"/>
                <w:color w:val="000000"/>
                <w:kern w:val="0"/>
                <w:sz w:val="21"/>
              </w:rPr>
            </w:pPr>
          </w:p>
        </w:tc>
        <w:tc>
          <w:tcPr>
            <w:tcW w:w="709"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小计</w:t>
            </w:r>
          </w:p>
        </w:tc>
        <w:tc>
          <w:tcPr>
            <w:tcW w:w="851" w:type="dxa"/>
            <w:gridSpan w:val="3"/>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21"/>
              </w:rPr>
            </w:pPr>
            <w:r>
              <w:rPr>
                <w:rFonts w:hint="eastAsia" w:ascii="宋体" w:hAnsi="宋体" w:cs="宋体"/>
                <w:color w:val="000000"/>
                <w:kern w:val="0"/>
                <w:sz w:val="20"/>
                <w:szCs w:val="20"/>
              </w:rPr>
              <w:t>房屋构筑物</w:t>
            </w:r>
          </w:p>
        </w:tc>
        <w:tc>
          <w:tcPr>
            <w:tcW w:w="708" w:type="dxa"/>
            <w:gridSpan w:val="2"/>
            <w:tcBorders>
              <w:bottom w:val="single" w:color="000000" w:sz="4" w:space="0"/>
              <w:right w:val="single" w:color="000000" w:sz="4" w:space="0"/>
            </w:tcBorders>
            <w:tcMar>
              <w:top w:w="20" w:type="dxa"/>
              <w:left w:w="20" w:type="dxa"/>
              <w:bottom w:w="20" w:type="dxa"/>
              <w:right w:w="20" w:type="dxa"/>
            </w:tcMar>
            <w:vAlign w:val="center"/>
          </w:tcPr>
          <w:p>
            <w:pPr>
              <w:textAlignment w:val="center"/>
              <w:rPr>
                <w:kern w:val="0"/>
                <w:sz w:val="20"/>
              </w:rPr>
            </w:pPr>
            <w:r>
              <w:rPr>
                <w:rFonts w:hint="eastAsia" w:ascii="宋体" w:hAnsi="宋体" w:cs="宋体"/>
                <w:color w:val="000000"/>
                <w:kern w:val="0"/>
                <w:sz w:val="20"/>
                <w:szCs w:val="20"/>
              </w:rPr>
              <w:t>车辆</w:t>
            </w:r>
          </w:p>
        </w:tc>
        <w:tc>
          <w:tcPr>
            <w:tcW w:w="709" w:type="dxa"/>
            <w:gridSpan w:val="2"/>
            <w:tcBorders>
              <w:bottom w:val="single" w:color="000000" w:sz="4" w:space="0"/>
              <w:right w:val="single" w:color="000000" w:sz="4" w:space="0"/>
            </w:tcBorders>
            <w:tcMar>
              <w:top w:w="20" w:type="dxa"/>
              <w:left w:w="20" w:type="dxa"/>
              <w:bottom w:w="20" w:type="dxa"/>
              <w:right w:w="20" w:type="dxa"/>
            </w:tcMar>
            <w:vAlign w:val="center"/>
          </w:tcPr>
          <w:p>
            <w:pPr>
              <w:textAlignment w:val="center"/>
              <w:rPr>
                <w:kern w:val="0"/>
                <w:sz w:val="20"/>
              </w:rPr>
            </w:pPr>
            <w:r>
              <w:rPr>
                <w:rFonts w:hint="eastAsia" w:ascii="宋体" w:hAnsi="宋体" w:cs="宋体"/>
                <w:kern w:val="0"/>
                <w:sz w:val="20"/>
                <w:szCs w:val="20"/>
              </w:rPr>
              <w:t>单价200万以上大型设备</w:t>
            </w:r>
          </w:p>
        </w:tc>
        <w:tc>
          <w:tcPr>
            <w:tcW w:w="851"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kern w:val="0"/>
                <w:sz w:val="20"/>
              </w:rPr>
            </w:pPr>
            <w:r>
              <w:rPr>
                <w:rFonts w:hint="eastAsia" w:ascii="宋体" w:hAnsi="宋体" w:cs="宋体"/>
                <w:kern w:val="0"/>
                <w:sz w:val="20"/>
                <w:szCs w:val="20"/>
              </w:rPr>
              <w:t>其他固定资产</w:t>
            </w:r>
          </w:p>
        </w:tc>
        <w:tc>
          <w:tcPr>
            <w:tcW w:w="567" w:type="dxa"/>
            <w:vMerge w:val="continue"/>
            <w:tcBorders>
              <w:top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850" w:type="dxa"/>
            <w:vMerge w:val="continue"/>
            <w:tcBorders>
              <w:top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567" w:type="dxa"/>
            <w:vMerge w:val="continue"/>
            <w:tcBorders>
              <w:top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c>
          <w:tcPr>
            <w:tcW w:w="567" w:type="dxa"/>
            <w:vMerge w:val="continue"/>
            <w:tcBorders>
              <w:top w:val="single" w:color="000000" w:sz="4" w:space="0"/>
              <w:bottom w:val="single" w:color="000000" w:sz="4" w:space="0"/>
              <w:right w:val="single" w:color="000000" w:sz="4" w:space="0"/>
            </w:tcBorders>
            <w:vAlign w:val="center"/>
          </w:tcPr>
          <w:p>
            <w:pPr>
              <w:rPr>
                <w:rFonts w:ascii="宋体" w:hAnsi="宋体" w:cs="宋体"/>
                <w:color w:val="000000"/>
                <w:kern w:val="0"/>
                <w:sz w:val="20"/>
                <w:szCs w:val="20"/>
              </w:rPr>
            </w:pPr>
          </w:p>
        </w:tc>
      </w:tr>
      <w:tr>
        <w:tblPrEx>
          <w:tblCellMar>
            <w:top w:w="15" w:type="dxa"/>
            <w:left w:w="15" w:type="dxa"/>
            <w:bottom w:w="15" w:type="dxa"/>
            <w:right w:w="15" w:type="dxa"/>
          </w:tblCellMar>
        </w:tblPrEx>
        <w:trPr>
          <w:trHeight w:val="679" w:hRule="atLeast"/>
        </w:trPr>
        <w:tc>
          <w:tcPr>
            <w:tcW w:w="616" w:type="dxa"/>
            <w:tcBorders>
              <w:left w:val="single" w:color="000000" w:sz="4" w:space="0"/>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栏次</w:t>
            </w:r>
          </w:p>
        </w:tc>
        <w:tc>
          <w:tcPr>
            <w:tcW w:w="425" w:type="dxa"/>
            <w:tcBorders>
              <w:bottom w:val="single" w:color="000000" w:sz="4" w:space="0"/>
              <w:right w:val="single" w:color="000000" w:sz="4" w:space="0"/>
            </w:tcBorders>
            <w:tcMar>
              <w:top w:w="5" w:type="dxa"/>
              <w:left w:w="5" w:type="dxa"/>
              <w:bottom w:w="5" w:type="dxa"/>
              <w:right w:w="5" w:type="dxa"/>
            </w:tcMar>
            <w:vAlign w:val="center"/>
          </w:tcPr>
          <w:p>
            <w:pPr>
              <w:jc w:val="center"/>
              <w:rPr>
                <w:rFonts w:ascii="等线" w:hAnsi="等线" w:eastAsia="等线" w:cs="等线"/>
                <w:color w:val="000000"/>
                <w:kern w:val="0"/>
                <w:sz w:val="21"/>
              </w:rPr>
            </w:pPr>
          </w:p>
        </w:tc>
        <w:tc>
          <w:tcPr>
            <w:tcW w:w="851"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1</w:t>
            </w:r>
          </w:p>
        </w:tc>
        <w:tc>
          <w:tcPr>
            <w:tcW w:w="850"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2</w:t>
            </w:r>
          </w:p>
        </w:tc>
        <w:tc>
          <w:tcPr>
            <w:tcW w:w="709"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3</w:t>
            </w:r>
          </w:p>
        </w:tc>
        <w:tc>
          <w:tcPr>
            <w:tcW w:w="851" w:type="dxa"/>
            <w:gridSpan w:val="3"/>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4</w:t>
            </w:r>
          </w:p>
        </w:tc>
        <w:tc>
          <w:tcPr>
            <w:tcW w:w="708" w:type="dxa"/>
            <w:gridSpan w:val="2"/>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5</w:t>
            </w:r>
          </w:p>
        </w:tc>
        <w:tc>
          <w:tcPr>
            <w:tcW w:w="709" w:type="dxa"/>
            <w:gridSpan w:val="2"/>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kern w:val="0"/>
                <w:sz w:val="20"/>
              </w:rPr>
            </w:pPr>
            <w:r>
              <w:rPr>
                <w:rFonts w:hint="eastAsia" w:ascii="宋体" w:hAnsi="宋体" w:cs="宋体"/>
                <w:kern w:val="0"/>
                <w:sz w:val="20"/>
                <w:szCs w:val="20"/>
              </w:rPr>
              <w:t>6</w:t>
            </w:r>
          </w:p>
        </w:tc>
        <w:tc>
          <w:tcPr>
            <w:tcW w:w="851"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kern w:val="0"/>
                <w:sz w:val="20"/>
              </w:rPr>
            </w:pPr>
            <w:r>
              <w:rPr>
                <w:rFonts w:hint="eastAsia" w:ascii="宋体" w:hAnsi="宋体" w:cs="宋体"/>
                <w:kern w:val="0"/>
                <w:sz w:val="20"/>
                <w:szCs w:val="20"/>
              </w:rPr>
              <w:t>7</w:t>
            </w:r>
          </w:p>
        </w:tc>
        <w:tc>
          <w:tcPr>
            <w:tcW w:w="567"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8</w:t>
            </w:r>
          </w:p>
        </w:tc>
        <w:tc>
          <w:tcPr>
            <w:tcW w:w="850"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9</w:t>
            </w:r>
          </w:p>
        </w:tc>
        <w:tc>
          <w:tcPr>
            <w:tcW w:w="567"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10</w:t>
            </w:r>
          </w:p>
        </w:tc>
        <w:tc>
          <w:tcPr>
            <w:tcW w:w="567" w:type="dxa"/>
            <w:tcBorders>
              <w:bottom w:val="single" w:color="000000" w:sz="4" w:space="0"/>
              <w:right w:val="single" w:color="000000" w:sz="4" w:space="0"/>
            </w:tcBorders>
            <w:tcMar>
              <w:top w:w="5" w:type="dxa"/>
              <w:left w:w="5" w:type="dxa"/>
              <w:bottom w:w="5" w:type="dxa"/>
              <w:right w:w="5" w:type="dxa"/>
            </w:tcMar>
            <w:vAlign w:val="center"/>
          </w:tcPr>
          <w:p>
            <w:pPr>
              <w:jc w:val="center"/>
              <w:textAlignment w:val="center"/>
              <w:rPr>
                <w:rFonts w:ascii="等线" w:hAnsi="等线" w:eastAsia="等线" w:cs="等线"/>
                <w:color w:val="000000"/>
                <w:kern w:val="0"/>
                <w:sz w:val="21"/>
              </w:rPr>
            </w:pPr>
            <w:r>
              <w:rPr>
                <w:rFonts w:hint="eastAsia" w:ascii="宋体" w:hAnsi="宋体" w:cs="宋体"/>
                <w:color w:val="000000"/>
                <w:kern w:val="0"/>
                <w:sz w:val="20"/>
                <w:szCs w:val="20"/>
              </w:rPr>
              <w:t>11</w:t>
            </w:r>
          </w:p>
        </w:tc>
      </w:tr>
      <w:tr>
        <w:tblPrEx>
          <w:tblCellMar>
            <w:top w:w="15" w:type="dxa"/>
            <w:left w:w="15" w:type="dxa"/>
            <w:bottom w:w="15" w:type="dxa"/>
            <w:right w:w="15" w:type="dxa"/>
          </w:tblCellMar>
        </w:tblPrEx>
        <w:trPr>
          <w:trHeight w:val="450" w:hRule="atLeast"/>
        </w:trPr>
        <w:tc>
          <w:tcPr>
            <w:tcW w:w="616" w:type="dxa"/>
            <w:tcBorders>
              <w:left w:val="single" w:color="000000" w:sz="4" w:space="0"/>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合计</w:t>
            </w:r>
          </w:p>
        </w:tc>
        <w:tc>
          <w:tcPr>
            <w:tcW w:w="425"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1</w:t>
            </w:r>
          </w:p>
        </w:tc>
        <w:tc>
          <w:tcPr>
            <w:tcW w:w="851"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35068.36</w:t>
            </w:r>
          </w:p>
        </w:tc>
        <w:tc>
          <w:tcPr>
            <w:tcW w:w="850"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13401.17</w:t>
            </w:r>
          </w:p>
        </w:tc>
        <w:tc>
          <w:tcPr>
            <w:tcW w:w="709"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7065.58</w:t>
            </w:r>
          </w:p>
        </w:tc>
        <w:tc>
          <w:tcPr>
            <w:tcW w:w="851" w:type="dxa"/>
            <w:gridSpan w:val="3"/>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5248.52</w:t>
            </w:r>
          </w:p>
        </w:tc>
        <w:tc>
          <w:tcPr>
            <w:tcW w:w="708" w:type="dxa"/>
            <w:gridSpan w:val="2"/>
            <w:tcBorders>
              <w:bottom w:val="single" w:color="000000" w:sz="4" w:space="0"/>
              <w:right w:val="single" w:color="000000" w:sz="4" w:space="0"/>
            </w:tcBorders>
            <w:tcMar>
              <w:top w:w="20" w:type="dxa"/>
              <w:left w:w="20" w:type="dxa"/>
              <w:bottom w:w="20" w:type="dxa"/>
              <w:right w:w="20" w:type="dxa"/>
            </w:tcMar>
            <w:vAlign w:val="center"/>
          </w:tcPr>
          <w:p>
            <w:pPr>
              <w:textAlignment w:val="center"/>
              <w:rPr>
                <w:kern w:val="0"/>
                <w:sz w:val="18"/>
                <w:szCs w:val="18"/>
              </w:rPr>
            </w:pPr>
            <w:r>
              <w:rPr>
                <w:rFonts w:hint="eastAsia" w:ascii="宋体" w:hAnsi="宋体" w:cs="宋体"/>
                <w:kern w:val="0"/>
                <w:sz w:val="18"/>
                <w:szCs w:val="18"/>
              </w:rPr>
              <w:t xml:space="preserve">67.38 </w:t>
            </w:r>
          </w:p>
        </w:tc>
        <w:tc>
          <w:tcPr>
            <w:tcW w:w="709" w:type="dxa"/>
            <w:gridSpan w:val="2"/>
            <w:tcBorders>
              <w:bottom w:val="single" w:color="000000" w:sz="4" w:space="0"/>
              <w:right w:val="single" w:color="000000" w:sz="4" w:space="0"/>
            </w:tcBorders>
            <w:tcMar>
              <w:top w:w="20" w:type="dxa"/>
              <w:left w:w="20" w:type="dxa"/>
              <w:bottom w:w="20" w:type="dxa"/>
              <w:right w:w="20" w:type="dxa"/>
            </w:tcMar>
            <w:vAlign w:val="center"/>
          </w:tcPr>
          <w:p>
            <w:pPr>
              <w:textAlignment w:val="center"/>
              <w:rPr>
                <w:kern w:val="0"/>
                <w:sz w:val="18"/>
                <w:szCs w:val="18"/>
              </w:rPr>
            </w:pPr>
            <w:r>
              <w:rPr>
                <w:rFonts w:hint="eastAsia" w:ascii="宋体" w:hAnsi="宋体" w:cs="宋体"/>
                <w:kern w:val="0"/>
                <w:sz w:val="18"/>
                <w:szCs w:val="18"/>
              </w:rPr>
              <w:t>407.42</w:t>
            </w:r>
          </w:p>
        </w:tc>
        <w:tc>
          <w:tcPr>
            <w:tcW w:w="851"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kern w:val="0"/>
                <w:sz w:val="18"/>
                <w:szCs w:val="18"/>
              </w:rPr>
            </w:pPr>
            <w:r>
              <w:rPr>
                <w:rFonts w:hint="eastAsia" w:ascii="宋体" w:hAnsi="宋体" w:cs="宋体"/>
                <w:kern w:val="0"/>
                <w:sz w:val="18"/>
                <w:szCs w:val="18"/>
              </w:rPr>
              <w:t>1342.26</w:t>
            </w:r>
          </w:p>
        </w:tc>
        <w:tc>
          <w:tcPr>
            <w:tcW w:w="567"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0</w:t>
            </w:r>
          </w:p>
        </w:tc>
        <w:tc>
          <w:tcPr>
            <w:tcW w:w="850" w:type="dxa"/>
            <w:tcBorders>
              <w:bottom w:val="single" w:color="000000" w:sz="4" w:space="0"/>
              <w:right w:val="single" w:color="000000" w:sz="4" w:space="0"/>
            </w:tcBorders>
            <w:tcMar>
              <w:top w:w="20" w:type="dxa"/>
              <w:left w:w="20" w:type="dxa"/>
              <w:bottom w:w="20" w:type="dxa"/>
              <w:right w:w="20" w:type="dxa"/>
            </w:tcMar>
            <w:vAlign w:val="center"/>
          </w:tcPr>
          <w:p>
            <w:pPr>
              <w:jc w:val="left"/>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14600.01</w:t>
            </w:r>
          </w:p>
        </w:tc>
        <w:tc>
          <w:tcPr>
            <w:tcW w:w="567" w:type="dxa"/>
            <w:tcBorders>
              <w:bottom w:val="single" w:color="000000" w:sz="4" w:space="0"/>
              <w:right w:val="single" w:color="000000" w:sz="4" w:space="0"/>
            </w:tcBorders>
            <w:tcMar>
              <w:top w:w="20" w:type="dxa"/>
              <w:left w:w="20" w:type="dxa"/>
              <w:bottom w:w="20" w:type="dxa"/>
              <w:right w:w="20" w:type="dxa"/>
            </w:tcMar>
            <w:vAlign w:val="center"/>
          </w:tcPr>
          <w:p>
            <w:pPr>
              <w:jc w:val="left"/>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1.6</w:t>
            </w:r>
          </w:p>
        </w:tc>
        <w:tc>
          <w:tcPr>
            <w:tcW w:w="567" w:type="dxa"/>
            <w:tcBorders>
              <w:bottom w:val="single" w:color="000000" w:sz="4" w:space="0"/>
              <w:right w:val="single" w:color="000000" w:sz="4" w:space="0"/>
            </w:tcBorders>
            <w:tcMar>
              <w:top w:w="20" w:type="dxa"/>
              <w:left w:w="20" w:type="dxa"/>
              <w:bottom w:w="20" w:type="dxa"/>
              <w:right w:w="20" w:type="dxa"/>
            </w:tcMar>
            <w:vAlign w:val="center"/>
          </w:tcPr>
          <w:p>
            <w:pPr>
              <w:textAlignment w:val="center"/>
              <w:rPr>
                <w:rFonts w:ascii="等线" w:hAnsi="等线" w:eastAsia="等线" w:cs="等线"/>
                <w:color w:val="000000"/>
                <w:kern w:val="0"/>
                <w:sz w:val="18"/>
                <w:szCs w:val="18"/>
              </w:rPr>
            </w:pPr>
            <w:r>
              <w:rPr>
                <w:rFonts w:hint="eastAsia" w:ascii="宋体" w:hAnsi="宋体" w:cs="宋体"/>
                <w:color w:val="000000"/>
                <w:kern w:val="0"/>
                <w:sz w:val="18"/>
                <w:szCs w:val="18"/>
              </w:rPr>
              <w:t xml:space="preserve">0 </w:t>
            </w:r>
          </w:p>
        </w:tc>
      </w:tr>
      <w:tr>
        <w:tblPrEx>
          <w:tblCellMar>
            <w:top w:w="15" w:type="dxa"/>
            <w:left w:w="15" w:type="dxa"/>
            <w:bottom w:w="15" w:type="dxa"/>
            <w:right w:w="15" w:type="dxa"/>
          </w:tblCellMar>
        </w:tblPrEx>
        <w:trPr>
          <w:trHeight w:val="330" w:hRule="atLeast"/>
        </w:trPr>
        <w:tc>
          <w:tcPr>
            <w:tcW w:w="8554" w:type="dxa"/>
            <w:gridSpan w:val="16"/>
            <w:tcMar>
              <w:top w:w="20" w:type="dxa"/>
              <w:left w:w="20" w:type="dxa"/>
              <w:bottom w:w="20" w:type="dxa"/>
              <w:right w:w="20" w:type="dxa"/>
            </w:tcMar>
            <w:vAlign w:val="bottom"/>
          </w:tcPr>
          <w:p>
            <w:pPr>
              <w:rPr>
                <w:rFonts w:ascii="等线" w:hAnsi="等线" w:eastAsia="等线" w:cs="等线"/>
                <w:color w:val="000000"/>
                <w:kern w:val="0"/>
                <w:sz w:val="21"/>
              </w:rPr>
            </w:pPr>
          </w:p>
        </w:tc>
        <w:tc>
          <w:tcPr>
            <w:tcW w:w="567" w:type="dxa"/>
            <w:tcMar>
              <w:top w:w="20" w:type="dxa"/>
              <w:left w:w="20" w:type="dxa"/>
              <w:bottom w:w="20" w:type="dxa"/>
              <w:right w:w="20" w:type="dxa"/>
            </w:tcMar>
            <w:vAlign w:val="bottom"/>
          </w:tcPr>
          <w:p>
            <w:pPr>
              <w:rPr>
                <w:rFonts w:ascii="等线" w:hAnsi="等线" w:eastAsia="等线" w:cs="等线"/>
                <w:color w:val="000000"/>
                <w:kern w:val="0"/>
                <w:sz w:val="21"/>
              </w:rPr>
            </w:pPr>
          </w:p>
        </w:tc>
      </w:tr>
      <w:tr>
        <w:tblPrEx>
          <w:tblCellMar>
            <w:top w:w="15" w:type="dxa"/>
            <w:left w:w="15" w:type="dxa"/>
            <w:bottom w:w="15" w:type="dxa"/>
            <w:right w:w="15" w:type="dxa"/>
          </w:tblCellMar>
        </w:tblPrEx>
        <w:trPr>
          <w:trHeight w:val="599" w:hRule="atLeast"/>
        </w:trPr>
        <w:tc>
          <w:tcPr>
            <w:tcW w:w="9121" w:type="dxa"/>
            <w:gridSpan w:val="17"/>
            <w:tcMar>
              <w:top w:w="20" w:type="dxa"/>
              <w:left w:w="20" w:type="dxa"/>
              <w:bottom w:w="20" w:type="dxa"/>
              <w:right w:w="20" w:type="dxa"/>
            </w:tcMar>
            <w:vAlign w:val="bottom"/>
          </w:tcPr>
          <w:p>
            <w:pPr>
              <w:textAlignment w:val="bottom"/>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21"/>
              </w:rPr>
              <w:t>填报说明：</w:t>
            </w:r>
            <w:r>
              <w:rPr>
                <w:rFonts w:hint="eastAsia" w:ascii="仿宋_GB2312" w:hAnsi="宋体" w:eastAsia="仿宋_GB2312" w:cs="仿宋_GB2312"/>
                <w:color w:val="000000"/>
                <w:kern w:val="0"/>
                <w:sz w:val="18"/>
                <w:szCs w:val="18"/>
              </w:rPr>
              <w:t>1、资产总额＝流动资产＋固定资产＋对外投资／有价证券＋在建工程＋无形资产＋其他资产；</w:t>
            </w:r>
          </w:p>
          <w:p>
            <w:pPr>
              <w:ind w:firstLine="1080" w:firstLineChars="600"/>
              <w:textAlignment w:val="bottom"/>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2、固定资产＝房屋构筑物＋车辆＋单价200万元以上大型设备＋其他固定资产；</w:t>
            </w:r>
          </w:p>
          <w:p>
            <w:pPr>
              <w:pStyle w:val="2"/>
              <w:ind w:left="210" w:right="210"/>
              <w:rPr>
                <w:kern w:val="0"/>
              </w:rPr>
            </w:pPr>
            <w:r>
              <w:rPr>
                <w:rFonts w:hint="eastAsia" w:ascii="仿宋_GB2312" w:eastAsia="仿宋_GB2312"/>
                <w:kern w:val="0"/>
                <w:sz w:val="18"/>
                <w:szCs w:val="18"/>
              </w:rPr>
              <w:t xml:space="preserve">         3、填报金额为资产“账面原值”。</w:t>
            </w:r>
          </w:p>
        </w:tc>
      </w:tr>
    </w:tbl>
    <w:p>
      <w:pPr>
        <w:spacing w:line="590" w:lineRule="exact"/>
        <w:jc w:val="left"/>
        <w:rPr>
          <w:rFonts w:ascii="黑体" w:hAnsi="黑体" w:eastAsia="黑体" w:cs="黑体"/>
          <w:sz w:val="30"/>
          <w:szCs w:val="30"/>
        </w:rPr>
      </w:pPr>
    </w:p>
    <w:p>
      <w:pPr>
        <w:spacing w:line="590" w:lineRule="exact"/>
        <w:ind w:firstLine="600"/>
        <w:jc w:val="left"/>
        <w:rPr>
          <w:rFonts w:eastAsia="Times New Roman"/>
          <w:sz w:val="30"/>
          <w:szCs w:val="30"/>
        </w:rPr>
      </w:pPr>
      <w:r>
        <w:rPr>
          <w:rFonts w:hint="eastAsia" w:ascii="黑体" w:hAnsi="黑体" w:eastAsia="黑体" w:cs="黑体"/>
          <w:sz w:val="30"/>
          <w:szCs w:val="30"/>
        </w:rPr>
        <w:t>三、政府采购支出情况</w:t>
      </w:r>
    </w:p>
    <w:p>
      <w:pPr>
        <w:spacing w:line="590" w:lineRule="exact"/>
        <w:ind w:firstLine="600"/>
        <w:jc w:val="left"/>
        <w:rPr>
          <w:rFonts w:ascii="仿宋_GB2312" w:hAnsi="仿宋" w:eastAsia="仿宋_GB2312" w:cs="仿宋"/>
          <w:sz w:val="32"/>
          <w:szCs w:val="32"/>
        </w:rPr>
      </w:pPr>
      <w:r>
        <w:rPr>
          <w:rFonts w:hint="eastAsia" w:ascii="仿宋_GB2312" w:hAnsi="仿宋" w:eastAsia="仿宋_GB2312" w:cs="仿宋"/>
          <w:sz w:val="32"/>
          <w:szCs w:val="32"/>
        </w:rPr>
        <w:t>2020年度，部门政府采购支出总额1520.81万元，其中：政府采购货物支出1475.72万元；政府采购工程支出0万元；政府采购服务支出45.09万元。授予中小企业合同金额1520.81万元，占政府采购支出总额的100%。</w:t>
      </w:r>
    </w:p>
    <w:p>
      <w:pPr>
        <w:spacing w:line="590" w:lineRule="exact"/>
        <w:ind w:firstLine="600"/>
        <w:jc w:val="left"/>
        <w:rPr>
          <w:rFonts w:eastAsia="Times New Roman"/>
          <w:sz w:val="30"/>
          <w:szCs w:val="30"/>
        </w:rPr>
      </w:pPr>
      <w:r>
        <w:rPr>
          <w:rFonts w:hint="eastAsia" w:ascii="黑体" w:hAnsi="黑体" w:eastAsia="黑体" w:cs="黑体"/>
          <w:color w:val="000000"/>
          <w:sz w:val="30"/>
          <w:szCs w:val="30"/>
        </w:rPr>
        <w:t>四、</w:t>
      </w:r>
      <w:r>
        <w:rPr>
          <w:rFonts w:hint="eastAsia" w:ascii="黑体" w:hAnsi="黑体" w:eastAsia="黑体" w:cs="黑体"/>
          <w:sz w:val="30"/>
          <w:szCs w:val="30"/>
        </w:rPr>
        <w:t>部门绩效自评情况</w:t>
      </w:r>
    </w:p>
    <w:p>
      <w:pPr>
        <w:spacing w:line="590" w:lineRule="exact"/>
        <w:ind w:firstLine="600"/>
        <w:jc w:val="left"/>
        <w:rPr>
          <w:rFonts w:ascii="仿宋_GB2312" w:eastAsia="仿宋_GB2312"/>
          <w:color w:val="0000FF"/>
          <w:sz w:val="32"/>
          <w:szCs w:val="32"/>
        </w:rPr>
      </w:pPr>
      <w:r>
        <w:rPr>
          <w:rFonts w:hint="eastAsia" w:ascii="仿宋_GB2312" w:hAnsi="仿宋" w:eastAsia="仿宋_GB2312" w:cs="仿宋"/>
          <w:sz w:val="32"/>
          <w:szCs w:val="32"/>
        </w:rPr>
        <w:t>部门绩效自评情况由云南省监狱管理局统一公开。</w:t>
      </w:r>
    </w:p>
    <w:p>
      <w:pPr>
        <w:spacing w:line="590" w:lineRule="exact"/>
        <w:ind w:firstLine="600"/>
        <w:jc w:val="left"/>
        <w:rPr>
          <w:rFonts w:eastAsia="Times New Roman"/>
          <w:sz w:val="30"/>
          <w:szCs w:val="30"/>
        </w:rPr>
      </w:pPr>
      <w:r>
        <w:rPr>
          <w:rFonts w:hint="eastAsia" w:ascii="黑体" w:hAnsi="黑体" w:eastAsia="黑体" w:cs="黑体"/>
          <w:sz w:val="30"/>
          <w:szCs w:val="30"/>
        </w:rPr>
        <w:t>五、其他重要事项情况说明</w:t>
      </w:r>
    </w:p>
    <w:p>
      <w:pPr>
        <w:spacing w:line="540" w:lineRule="exact"/>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无其他重要事项情况说明。</w:t>
      </w:r>
    </w:p>
    <w:p>
      <w:pPr>
        <w:spacing w:line="590" w:lineRule="exact"/>
        <w:ind w:firstLine="600"/>
        <w:jc w:val="left"/>
        <w:rPr>
          <w:rFonts w:eastAsia="Times New Roman"/>
          <w:sz w:val="30"/>
          <w:szCs w:val="30"/>
        </w:rPr>
      </w:pPr>
      <w:r>
        <w:rPr>
          <w:rFonts w:hint="eastAsia" w:ascii="黑体" w:hAnsi="黑体" w:eastAsia="黑体" w:cs="黑体"/>
          <w:sz w:val="30"/>
          <w:szCs w:val="30"/>
        </w:rPr>
        <w:t>六、相关口径说明</w:t>
      </w:r>
    </w:p>
    <w:p>
      <w:pPr>
        <w:spacing w:line="590" w:lineRule="exact"/>
        <w:ind w:firstLine="600"/>
        <w:jc w:val="left"/>
        <w:rPr>
          <w:rFonts w:ascii="仿宋_GB2312" w:hAnsi="仿宋" w:eastAsia="仿宋_GB2312" w:cs="仿宋"/>
          <w:sz w:val="32"/>
          <w:szCs w:val="32"/>
        </w:rPr>
      </w:pPr>
      <w:r>
        <w:rPr>
          <w:rFonts w:hint="eastAsia" w:ascii="仿宋_GB2312" w:hAnsi="仿宋" w:eastAsia="仿宋_GB2312" w:cs="仿宋"/>
          <w:sz w:val="32"/>
          <w:szCs w:val="32"/>
        </w:rPr>
        <w:t>（一）基本支出中人员经费包括工资福利支出和对个人和家庭的补助，公用经费包括商品和服务支出、资本性支出等人员经费以外的支出。</w:t>
      </w:r>
    </w:p>
    <w:p>
      <w:pPr>
        <w:spacing w:line="590" w:lineRule="exact"/>
        <w:ind w:firstLine="600"/>
        <w:jc w:val="left"/>
        <w:rPr>
          <w:rFonts w:ascii="仿宋_GB2312" w:hAnsi="仿宋" w:eastAsia="仿宋_GB2312" w:cs="仿宋"/>
          <w:sz w:val="32"/>
          <w:szCs w:val="32"/>
        </w:rPr>
      </w:pPr>
      <w:r>
        <w:rPr>
          <w:rFonts w:hint="eastAsia" w:ascii="仿宋_GB2312" w:hAnsi="仿宋" w:eastAsia="仿宋_GB2312" w:cs="仿宋"/>
          <w:sz w:val="32"/>
          <w:szCs w:val="32"/>
        </w:rPr>
        <w:t>（二）机关运行经费指行政单位和参照公务员法管理的事业单位使用一般公共预算财政拨款安排的基本支出中的公用经费支出。</w:t>
      </w:r>
    </w:p>
    <w:p>
      <w:pPr>
        <w:spacing w:line="590" w:lineRule="exact"/>
        <w:ind w:firstLine="600"/>
        <w:jc w:val="left"/>
        <w:rPr>
          <w:rFonts w:ascii="仿宋_GB2312" w:hAnsi="仿宋" w:eastAsia="仿宋_GB2312" w:cs="仿宋"/>
          <w:sz w:val="32"/>
          <w:szCs w:val="32"/>
        </w:rPr>
      </w:pPr>
      <w:r>
        <w:rPr>
          <w:rFonts w:hint="eastAsia" w:ascii="仿宋_GB2312" w:hAnsi="仿宋" w:eastAsia="仿宋_GB2312" w:cs="仿宋"/>
          <w:sz w:val="32"/>
          <w:szCs w:val="32"/>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line="590" w:lineRule="exact"/>
        <w:ind w:firstLine="600"/>
        <w:jc w:val="left"/>
        <w:rPr>
          <w:rFonts w:ascii="仿宋_GB2312" w:hAnsi="仿宋" w:eastAsia="仿宋_GB2312" w:cs="仿宋"/>
          <w:sz w:val="32"/>
          <w:szCs w:val="32"/>
        </w:rPr>
      </w:pPr>
      <w:r>
        <w:rPr>
          <w:rFonts w:hint="eastAsia" w:ascii="仿宋_GB2312" w:hAnsi="仿宋" w:eastAsia="仿宋_GB2312" w:cs="仿宋"/>
          <w:sz w:val="32"/>
          <w:szCs w:val="32"/>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line="590" w:lineRule="exact"/>
        <w:jc w:val="center"/>
        <w:rPr>
          <w:rFonts w:eastAsia="Times New Roman"/>
          <w:sz w:val="32"/>
          <w:szCs w:val="32"/>
        </w:rPr>
      </w:pPr>
      <w:r>
        <w:rPr>
          <w:rFonts w:hint="eastAsia" w:ascii="黑体" w:hAnsi="黑体" w:eastAsia="黑体" w:cs="黑体"/>
          <w:sz w:val="32"/>
          <w:szCs w:val="32"/>
        </w:rPr>
        <w:t>第五部分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我单位无需要解释说明的决算相关专用名词。</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E15FF7"/>
    <w:rsid w:val="00011B5D"/>
    <w:rsid w:val="000308D7"/>
    <w:rsid w:val="00041D8E"/>
    <w:rsid w:val="0015758B"/>
    <w:rsid w:val="00176B19"/>
    <w:rsid w:val="00187390"/>
    <w:rsid w:val="001970E6"/>
    <w:rsid w:val="001C7E4E"/>
    <w:rsid w:val="002255CA"/>
    <w:rsid w:val="002C0A17"/>
    <w:rsid w:val="00386F21"/>
    <w:rsid w:val="003E3028"/>
    <w:rsid w:val="00421533"/>
    <w:rsid w:val="004B60E3"/>
    <w:rsid w:val="005170CA"/>
    <w:rsid w:val="00574A78"/>
    <w:rsid w:val="00593F41"/>
    <w:rsid w:val="005F74BB"/>
    <w:rsid w:val="006763C6"/>
    <w:rsid w:val="006A04F4"/>
    <w:rsid w:val="006C5352"/>
    <w:rsid w:val="006F16CC"/>
    <w:rsid w:val="00723950"/>
    <w:rsid w:val="00790385"/>
    <w:rsid w:val="007A3F3F"/>
    <w:rsid w:val="007F04C6"/>
    <w:rsid w:val="00870CDC"/>
    <w:rsid w:val="0096323C"/>
    <w:rsid w:val="00997217"/>
    <w:rsid w:val="009B7E6C"/>
    <w:rsid w:val="00A21579"/>
    <w:rsid w:val="00A7464C"/>
    <w:rsid w:val="00A87A53"/>
    <w:rsid w:val="00B02AA7"/>
    <w:rsid w:val="00B17695"/>
    <w:rsid w:val="00B53FA0"/>
    <w:rsid w:val="00B71066"/>
    <w:rsid w:val="00BD0ED5"/>
    <w:rsid w:val="00BF5DA9"/>
    <w:rsid w:val="00C11A4C"/>
    <w:rsid w:val="00C7473A"/>
    <w:rsid w:val="00C77747"/>
    <w:rsid w:val="00D8226B"/>
    <w:rsid w:val="00E15FF7"/>
    <w:rsid w:val="00E22C06"/>
    <w:rsid w:val="00E4315C"/>
    <w:rsid w:val="00E87BF1"/>
    <w:rsid w:val="00E944D3"/>
    <w:rsid w:val="00EF47B4"/>
    <w:rsid w:val="00F6661E"/>
    <w:rsid w:val="4B576D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ind w:left="100" w:leftChars="100" w:right="100" w:rightChars="100"/>
    </w:pPr>
    <w:rPr>
      <w:sz w:val="32"/>
      <w:szCs w:val="32"/>
    </w:rPr>
  </w:style>
  <w:style w:type="paragraph" w:styleId="3">
    <w:name w:val="caption"/>
    <w:basedOn w:val="1"/>
    <w:next w:val="1"/>
    <w:unhideWhenUsed/>
    <w:qFormat/>
    <w:uiPriority w:val="99"/>
    <w:rPr>
      <w:rFonts w:eastAsia="黑体" w:asciiTheme="majorHAnsi" w:hAnsiTheme="majorHAnsi" w:cstheme="majorBidi"/>
      <w:sz w:val="20"/>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正文文本 Char"/>
    <w:basedOn w:val="8"/>
    <w:link w:val="2"/>
    <w:semiHidden/>
    <w:uiPriority w:val="99"/>
    <w:rPr>
      <w:rFonts w:cs="Times New Roman"/>
      <w:szCs w:val="21"/>
    </w:rPr>
  </w:style>
  <w:style w:type="character" w:customStyle="1" w:styleId="11">
    <w:name w:val="页眉 Char"/>
    <w:basedOn w:val="8"/>
    <w:link w:val="6"/>
    <w:semiHidden/>
    <w:qFormat/>
    <w:uiPriority w:val="99"/>
    <w:rPr>
      <w:rFonts w:cs="Times New Roman"/>
      <w:sz w:val="18"/>
      <w:szCs w:val="18"/>
    </w:rPr>
  </w:style>
  <w:style w:type="character" w:customStyle="1" w:styleId="12">
    <w:name w:val="页脚 Char"/>
    <w:basedOn w:val="8"/>
    <w:link w:val="5"/>
    <w:semiHidden/>
    <w:qFormat/>
    <w:uiPriority w:val="99"/>
    <w:rPr>
      <w:rFonts w:cs="Times New Roman"/>
      <w:sz w:val="18"/>
      <w:szCs w:val="18"/>
    </w:rPr>
  </w:style>
  <w:style w:type="character" w:customStyle="1" w:styleId="13">
    <w:name w:val="批注框文本 Char"/>
    <w:basedOn w:val="8"/>
    <w:link w:val="4"/>
    <w:semiHidden/>
    <w:qFormat/>
    <w:uiPriority w:val="99"/>
    <w:rPr>
      <w:rFonts w:cs="Times New Roman"/>
      <w:sz w:val="18"/>
      <w:szCs w:val="18"/>
    </w:rPr>
  </w:style>
  <w:style w:type="character" w:customStyle="1" w:styleId="14">
    <w:name w:val="font01"/>
    <w:basedOn w:val="8"/>
    <w:qFormat/>
    <w:uiPriority w:val="0"/>
    <w:rPr>
      <w:rFonts w:hint="eastAsia" w:ascii="宋体" w:hAnsi="宋体" w:eastAsia="宋体" w:cs="宋体"/>
      <w:color w:val="000000"/>
      <w:sz w:val="18"/>
      <w:szCs w:val="18"/>
      <w:u w:val="none"/>
    </w:rPr>
  </w:style>
  <w:style w:type="paragraph" w:customStyle="1" w:styleId="15">
    <w:name w:val="p_MsoNormal"/>
    <w:basedOn w:val="1"/>
    <w:qFormat/>
    <w:uiPriority w:val="0"/>
    <w:rPr>
      <w:rFonts w:ascii="等线" w:hAnsi="等线" w:eastAsia="等线" w:cs="等线"/>
      <w:kern w:val="0"/>
    </w:rPr>
  </w:style>
  <w:style w:type="table" w:customStyle="1" w:styleId="16">
    <w:name w:val="table_MsoNormalTable"/>
    <w:basedOn w:val="7"/>
    <w:qFormat/>
    <w:uiPriority w:val="0"/>
    <w:rPr>
      <w:rFonts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2019年</c:v>
                </c:pt>
              </c:strCache>
            </c:strRef>
          </c:tx>
          <c:invertIfNegative val="0"/>
          <c:dLbls>
            <c:delete val="1"/>
          </c:dLbls>
          <c:cat>
            <c:strRef>
              <c:f>Sheet1!$A$2:$A$5</c:f>
              <c:strCache>
                <c:ptCount val="4"/>
                <c:pt idx="0">
                  <c:v>其他收入</c:v>
                </c:pt>
                <c:pt idx="1">
                  <c:v>政府性基金财政拨款收入</c:v>
                </c:pt>
                <c:pt idx="2">
                  <c:v>一般公共财政预算收入</c:v>
                </c:pt>
                <c:pt idx="3">
                  <c:v>总收入</c:v>
                </c:pt>
              </c:strCache>
            </c:strRef>
          </c:cat>
          <c:val>
            <c:numRef>
              <c:f>Sheet1!$B$2:$B$5</c:f>
              <c:numCache>
                <c:formatCode>General</c:formatCode>
                <c:ptCount val="4"/>
                <c:pt idx="0">
                  <c:v>251.99</c:v>
                </c:pt>
                <c:pt idx="1">
                  <c:v>607.76</c:v>
                </c:pt>
                <c:pt idx="2">
                  <c:v>20900.39</c:v>
                </c:pt>
                <c:pt idx="3">
                  <c:v>21760.14</c:v>
                </c:pt>
              </c:numCache>
            </c:numRef>
          </c:val>
        </c:ser>
        <c:ser>
          <c:idx val="1"/>
          <c:order val="1"/>
          <c:tx>
            <c:strRef>
              <c:f>Sheet1!$C$1</c:f>
              <c:strCache>
                <c:ptCount val="1"/>
                <c:pt idx="0">
                  <c:v>2020年</c:v>
                </c:pt>
              </c:strCache>
            </c:strRef>
          </c:tx>
          <c:invertIfNegative val="0"/>
          <c:dLbls>
            <c:delete val="1"/>
          </c:dLbls>
          <c:cat>
            <c:strRef>
              <c:f>Sheet1!$A$2:$A$5</c:f>
              <c:strCache>
                <c:ptCount val="4"/>
                <c:pt idx="0">
                  <c:v>其他收入</c:v>
                </c:pt>
                <c:pt idx="1">
                  <c:v>政府性基金财政拨款收入</c:v>
                </c:pt>
                <c:pt idx="2">
                  <c:v>一般公共财政预算收入</c:v>
                </c:pt>
                <c:pt idx="3">
                  <c:v>总收入</c:v>
                </c:pt>
              </c:strCache>
            </c:strRef>
          </c:cat>
          <c:val>
            <c:numRef>
              <c:f>Sheet1!$C$2:$C$5</c:f>
              <c:numCache>
                <c:formatCode>General</c:formatCode>
                <c:ptCount val="4"/>
                <c:pt idx="0">
                  <c:v>167.38</c:v>
                </c:pt>
                <c:pt idx="1">
                  <c:v>718.55</c:v>
                </c:pt>
                <c:pt idx="2">
                  <c:v>31821.79</c:v>
                </c:pt>
                <c:pt idx="3">
                  <c:v>32707.72</c:v>
                </c:pt>
              </c:numCache>
            </c:numRef>
          </c:val>
        </c:ser>
        <c:dLbls>
          <c:showLegendKey val="0"/>
          <c:showVal val="0"/>
          <c:showCatName val="0"/>
          <c:showSerName val="0"/>
          <c:showPercent val="0"/>
          <c:showBubbleSize val="0"/>
        </c:dLbls>
        <c:gapWidth val="150"/>
        <c:axId val="74342784"/>
        <c:axId val="74344320"/>
      </c:barChart>
      <c:catAx>
        <c:axId val="74342784"/>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344320"/>
        <c:crosses val="autoZero"/>
        <c:auto val="1"/>
        <c:lblAlgn val="ctr"/>
        <c:lblOffset val="100"/>
        <c:noMultiLvlLbl val="0"/>
      </c:catAx>
      <c:valAx>
        <c:axId val="7434432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3427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75"/>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2020年支出占比图</c:v>
                </c:pt>
              </c:strCache>
            </c:strRef>
          </c:tx>
          <c:explosion val="25"/>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20019.24</c:v>
                </c:pt>
                <c:pt idx="1">
                  <c:v>4700</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5"/>
      <c:rotY val="0"/>
      <c:depthPercent val="100"/>
      <c:rAngAx val="0"/>
      <c:perspective val="0"/>
    </c:view3D>
    <c:floor>
      <c:thickness val="0"/>
    </c:floor>
    <c:sideWall>
      <c:thickness val="0"/>
    </c:sideWall>
    <c:backWall>
      <c:thickness val="0"/>
    </c:backWall>
    <c:plotArea>
      <c:layout>
        <c:manualLayout>
          <c:layoutTarget val="inner"/>
          <c:xMode val="edge"/>
          <c:yMode val="edge"/>
          <c:x val="0.0628140703517589"/>
          <c:y val="0.226053639846743"/>
          <c:w val="0.525125628140704"/>
          <c:h val="0.555555555555556"/>
        </c:manualLayout>
      </c:layout>
      <c:pie3DChart>
        <c:varyColors val="1"/>
        <c:ser>
          <c:idx val="0"/>
          <c:order val="0"/>
          <c:tx>
            <c:strRef>
              <c:f>Sheet1!$A$3</c:f>
              <c:strCache>
                <c:ptCount val="1"/>
                <c:pt idx="0">
                  <c:v/>
                </c:pt>
              </c:strCache>
            </c:strRef>
          </c:tx>
          <c:spPr>
            <a:solidFill>
              <a:srgbClr val="9999FF"/>
            </a:solidFill>
            <a:ln w="13483">
              <a:solidFill>
                <a:srgbClr val="000000"/>
              </a:solidFill>
              <a:prstDash val="solid"/>
            </a:ln>
          </c:spPr>
          <c:explosion val="0"/>
          <c:dPt>
            <c:idx val="0"/>
            <c:bubble3D val="0"/>
            <c:spPr>
              <a:solidFill>
                <a:srgbClr val="9999FF"/>
              </a:solidFill>
              <a:ln w="13483">
                <a:solidFill>
                  <a:srgbClr val="000000"/>
                </a:solidFill>
                <a:prstDash val="solid"/>
              </a:ln>
            </c:spPr>
          </c:dPt>
          <c:dPt>
            <c:idx val="1"/>
            <c:bubble3D val="0"/>
            <c:spPr>
              <a:solidFill>
                <a:srgbClr val="993366"/>
              </a:solidFill>
              <a:ln w="13483">
                <a:solidFill>
                  <a:srgbClr val="000000"/>
                </a:solidFill>
                <a:prstDash val="solid"/>
              </a:ln>
            </c:spPr>
          </c:dPt>
          <c:dPt>
            <c:idx val="2"/>
            <c:bubble3D val="0"/>
            <c:spPr>
              <a:solidFill>
                <a:srgbClr val="FFFFCC"/>
              </a:solidFill>
              <a:ln w="13483">
                <a:solidFill>
                  <a:srgbClr val="000000"/>
                </a:solidFill>
                <a:prstDash val="solid"/>
              </a:ln>
            </c:spPr>
          </c:dPt>
          <c:dPt>
            <c:idx val="3"/>
            <c:bubble3D val="0"/>
            <c:spPr>
              <a:solidFill>
                <a:srgbClr val="CCFFFF"/>
              </a:solidFill>
              <a:ln w="13483">
                <a:solidFill>
                  <a:srgbClr val="000000"/>
                </a:solidFill>
                <a:prstDash val="solid"/>
              </a:ln>
            </c:spPr>
          </c:dPt>
          <c:dLbls>
            <c:delete val="1"/>
          </c:dLbls>
          <c:cat>
            <c:strRef>
              <c:f>Sheet1!$B$2:$E$2</c:f>
              <c:strCache>
                <c:ptCount val="4"/>
                <c:pt idx="0">
                  <c:v>工资福利支出</c:v>
                </c:pt>
                <c:pt idx="1">
                  <c:v>商品服务支出</c:v>
                </c:pt>
                <c:pt idx="2">
                  <c:v>个人家庭补助支出</c:v>
                </c:pt>
                <c:pt idx="3">
                  <c:v>其他资本性支出</c:v>
                </c:pt>
              </c:strCache>
            </c:strRef>
          </c:cat>
          <c:val>
            <c:numRef>
              <c:f>Sheet1!$B$3:$E$3</c:f>
              <c:numCache>
                <c:formatCode>General</c:formatCode>
                <c:ptCount val="4"/>
                <c:pt idx="0">
                  <c:v>16654.35</c:v>
                </c:pt>
                <c:pt idx="1">
                  <c:v>1918.04</c:v>
                </c:pt>
                <c:pt idx="2">
                  <c:v>1398.1</c:v>
                </c:pt>
                <c:pt idx="3">
                  <c:v>48.75</c:v>
                </c:pt>
              </c:numCache>
            </c:numRef>
          </c:val>
        </c:ser>
        <c:ser>
          <c:idx val="1"/>
          <c:order val="1"/>
          <c:tx>
            <c:strRef>
              <c:f>Sheet1!$A$4</c:f>
              <c:strCache>
                <c:ptCount val="1"/>
                <c:pt idx="0">
                  <c:v/>
                </c:pt>
              </c:strCache>
            </c:strRef>
          </c:tx>
          <c:spPr>
            <a:solidFill>
              <a:srgbClr val="993366"/>
            </a:solidFill>
            <a:ln w="13483">
              <a:solidFill>
                <a:srgbClr val="000000"/>
              </a:solidFill>
              <a:prstDash val="solid"/>
            </a:ln>
          </c:spPr>
          <c:explosion val="0"/>
          <c:dPt>
            <c:idx val="0"/>
            <c:bubble3D val="0"/>
            <c:spPr>
              <a:solidFill>
                <a:srgbClr val="9999FF"/>
              </a:solidFill>
              <a:ln w="13483">
                <a:solidFill>
                  <a:srgbClr val="000000"/>
                </a:solidFill>
                <a:prstDash val="solid"/>
              </a:ln>
            </c:spPr>
          </c:dPt>
          <c:dPt>
            <c:idx val="1"/>
            <c:bubble3D val="0"/>
            <c:spPr>
              <a:solidFill>
                <a:srgbClr val="993366"/>
              </a:solidFill>
              <a:ln w="13483">
                <a:solidFill>
                  <a:srgbClr val="000000"/>
                </a:solidFill>
                <a:prstDash val="solid"/>
              </a:ln>
            </c:spPr>
          </c:dPt>
          <c:dPt>
            <c:idx val="2"/>
            <c:bubble3D val="0"/>
            <c:spPr>
              <a:solidFill>
                <a:srgbClr val="FFFFCC"/>
              </a:solidFill>
              <a:ln w="13483">
                <a:solidFill>
                  <a:srgbClr val="000000"/>
                </a:solidFill>
                <a:prstDash val="solid"/>
              </a:ln>
            </c:spPr>
          </c:dPt>
          <c:dPt>
            <c:idx val="3"/>
            <c:bubble3D val="0"/>
            <c:spPr>
              <a:solidFill>
                <a:srgbClr val="CCFFFF"/>
              </a:solidFill>
              <a:ln w="13483">
                <a:solidFill>
                  <a:srgbClr val="000000"/>
                </a:solidFill>
                <a:prstDash val="solid"/>
              </a:ln>
            </c:spPr>
          </c:dPt>
          <c:dLbls>
            <c:delete val="1"/>
          </c:dLbls>
          <c:cat>
            <c:strRef>
              <c:f>Sheet1!$B$2:$E$2</c:f>
              <c:strCache>
                <c:ptCount val="4"/>
                <c:pt idx="0">
                  <c:v>工资福利支出</c:v>
                </c:pt>
                <c:pt idx="1">
                  <c:v>商品服务支出</c:v>
                </c:pt>
                <c:pt idx="2">
                  <c:v>个人家庭补助支出</c:v>
                </c:pt>
                <c:pt idx="3">
                  <c:v>其他资本性支出</c:v>
                </c:pt>
              </c:strCache>
            </c:strRef>
          </c:cat>
          <c:val>
            <c:numRef>
              <c:f>Sheet1!$B$4:$E$4</c:f>
              <c:numCache>
                <c:formatCode>General</c:formatCode>
                <c:ptCount val="4"/>
              </c:numCache>
            </c:numRef>
          </c:val>
        </c:ser>
        <c:ser>
          <c:idx val="2"/>
          <c:order val="2"/>
          <c:tx>
            <c:strRef>
              <c:f>Sheet1!$A$5</c:f>
              <c:strCache>
                <c:ptCount val="1"/>
                <c:pt idx="0">
                  <c:v/>
                </c:pt>
              </c:strCache>
            </c:strRef>
          </c:tx>
          <c:spPr>
            <a:solidFill>
              <a:srgbClr val="FFFFCC"/>
            </a:solidFill>
            <a:ln w="13483">
              <a:solidFill>
                <a:srgbClr val="000000"/>
              </a:solidFill>
              <a:prstDash val="solid"/>
            </a:ln>
          </c:spPr>
          <c:explosion val="0"/>
          <c:dPt>
            <c:idx val="0"/>
            <c:bubble3D val="0"/>
            <c:spPr>
              <a:solidFill>
                <a:srgbClr val="9999FF"/>
              </a:solidFill>
              <a:ln w="13483">
                <a:solidFill>
                  <a:srgbClr val="000000"/>
                </a:solidFill>
                <a:prstDash val="solid"/>
              </a:ln>
            </c:spPr>
          </c:dPt>
          <c:dPt>
            <c:idx val="1"/>
            <c:bubble3D val="0"/>
            <c:spPr>
              <a:solidFill>
                <a:srgbClr val="993366"/>
              </a:solidFill>
              <a:ln w="13483">
                <a:solidFill>
                  <a:srgbClr val="000000"/>
                </a:solidFill>
                <a:prstDash val="solid"/>
              </a:ln>
            </c:spPr>
          </c:dPt>
          <c:dPt>
            <c:idx val="2"/>
            <c:bubble3D val="0"/>
            <c:spPr>
              <a:solidFill>
                <a:srgbClr val="FFFFCC"/>
              </a:solidFill>
              <a:ln w="13483">
                <a:solidFill>
                  <a:srgbClr val="000000"/>
                </a:solidFill>
                <a:prstDash val="solid"/>
              </a:ln>
            </c:spPr>
          </c:dPt>
          <c:dPt>
            <c:idx val="3"/>
            <c:bubble3D val="0"/>
            <c:spPr>
              <a:solidFill>
                <a:srgbClr val="CCFFFF"/>
              </a:solidFill>
              <a:ln w="13483">
                <a:solidFill>
                  <a:srgbClr val="000000"/>
                </a:solidFill>
                <a:prstDash val="solid"/>
              </a:ln>
            </c:spPr>
          </c:dPt>
          <c:dLbls>
            <c:delete val="1"/>
          </c:dLbls>
          <c:cat>
            <c:strRef>
              <c:f>Sheet1!$B$2:$E$2</c:f>
              <c:strCache>
                <c:ptCount val="4"/>
                <c:pt idx="0">
                  <c:v>工资福利支出</c:v>
                </c:pt>
                <c:pt idx="1">
                  <c:v>商品服务支出</c:v>
                </c:pt>
                <c:pt idx="2">
                  <c:v>个人家庭补助支出</c:v>
                </c:pt>
                <c:pt idx="3">
                  <c:v>其他资本性支出</c:v>
                </c:pt>
              </c:strCache>
            </c:strRef>
          </c:cat>
          <c:val>
            <c:numRef>
              <c:f>Sheet1!$B$5:$E$5</c:f>
              <c:numCache>
                <c:formatCode>General</c:formatCode>
                <c:ptCount val="4"/>
              </c:numCache>
            </c:numRef>
          </c:val>
        </c:ser>
        <c:dLbls>
          <c:showLegendKey val="0"/>
          <c:showVal val="0"/>
          <c:showCatName val="0"/>
          <c:showSerName val="0"/>
          <c:showPercent val="0"/>
          <c:showBubbleSize val="0"/>
        </c:dLbls>
      </c:pie3DChart>
      <c:spPr>
        <a:solidFill>
          <a:srgbClr val="C0C0C0"/>
        </a:solidFill>
        <a:ln w="13483">
          <a:solidFill>
            <a:srgbClr val="808080"/>
          </a:solidFill>
          <a:prstDash val="solid"/>
        </a:ln>
      </c:spPr>
    </c:plotArea>
    <c:legend>
      <c:legendPos val="r"/>
      <c:layout>
        <c:manualLayout>
          <c:xMode val="edge"/>
          <c:yMode val="edge"/>
          <c:x val="0.648241206030152"/>
          <c:y val="0.199233716475096"/>
          <c:w val="0.341708542713568"/>
          <c:h val="0.601532567049808"/>
        </c:manualLayout>
      </c:layout>
      <c:overlay val="0"/>
      <c:spPr>
        <a:noFill/>
        <a:ln w="3371">
          <a:solidFill>
            <a:srgbClr val="000000"/>
          </a:solidFill>
          <a:prstDash val="solid"/>
        </a:ln>
      </c:spPr>
      <c:txPr>
        <a:bodyPr rot="0" spcFirstLastPara="0" vertOverflow="ellipsis" vert="horz" wrap="square" anchor="ctr" anchorCtr="1"/>
        <a:lstStyle/>
        <a:p>
          <a:pPr>
            <a:defRPr lang="zh-CN" sz="11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2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0755395683453238"/>
          <c:y val="0.263736263736264"/>
          <c:w val="0.507194244604317"/>
          <c:h val="0.483516483516484"/>
        </c:manualLayout>
      </c:layout>
      <c:pie3DChart>
        <c:varyColors val="1"/>
        <c:ser>
          <c:idx val="0"/>
          <c:order val="0"/>
          <c:tx>
            <c:strRef>
              <c:f>Sheet1!$A$2</c:f>
              <c:strCache>
                <c:ptCount val="1"/>
                <c:pt idx="0">
                  <c:v/>
                </c:pt>
              </c:strCache>
            </c:strRef>
          </c:tx>
          <c:spPr>
            <a:solidFill>
              <a:srgbClr val="9999FF"/>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Sheet1!$B$2:$E$2</c:f>
              <c:numCache>
                <c:formatCode>General</c:formatCode>
                <c:ptCount val="4"/>
                <c:pt idx="0">
                  <c:v>20135.79</c:v>
                </c:pt>
                <c:pt idx="1">
                  <c:v>1322.23</c:v>
                </c:pt>
                <c:pt idx="2">
                  <c:v>1367.41</c:v>
                </c:pt>
                <c:pt idx="3">
                  <c:v>1231.02</c:v>
                </c:pt>
              </c:numCache>
            </c:numRef>
          </c:val>
        </c:ser>
        <c:ser>
          <c:idx val="1"/>
          <c:order val="1"/>
          <c:tx>
            <c:strRef>
              <c:f>Sheet1!$A$3</c:f>
              <c:strCache>
                <c:ptCount val="1"/>
                <c:pt idx="0">
                  <c:v/>
                </c:pt>
              </c:strCache>
            </c:strRef>
          </c:tx>
          <c:spPr>
            <a:solidFill>
              <a:srgbClr val="993366"/>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Sheet1!$B$3:$E$3</c:f>
              <c:numCache>
                <c:formatCode>General</c:formatCode>
                <c:ptCount val="4"/>
                <c:pt idx="0">
                  <c:v>0</c:v>
                </c:pt>
              </c:numCache>
            </c:numRef>
          </c:val>
        </c:ser>
        <c:ser>
          <c:idx val="2"/>
          <c:order val="2"/>
          <c:tx>
            <c:strRef>
              <c:f>Sheet1!$A$4</c:f>
              <c:strCache>
                <c:ptCount val="1"/>
                <c:pt idx="0">
                  <c:v/>
                </c:pt>
              </c:strCache>
            </c:strRef>
          </c:tx>
          <c:spPr>
            <a:solidFill>
              <a:srgbClr val="FFFFCC"/>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Sheet1!$B$4:$E$4</c:f>
              <c:numCache>
                <c:formatCode>General</c:formatCode>
                <c:ptCount val="4"/>
              </c:numCache>
            </c:numRef>
          </c:val>
        </c:ser>
        <c:ser>
          <c:idx val="3"/>
          <c:order val="3"/>
          <c:tx>
            <c:strRef>
              <c:f>Sheet1!$A$5</c:f>
              <c:strCache>
                <c:ptCount val="1"/>
                <c:pt idx="0">
                  <c:v/>
                </c:pt>
              </c:strCache>
            </c:strRef>
          </c:tx>
          <c:spPr>
            <a:solidFill>
              <a:srgbClr val="CCFFFF"/>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Sheet1!$B$5:$E$5</c:f>
              <c:numCache>
                <c:formatCode>General</c:formatCode>
                <c:ptCount val="4"/>
              </c:numCache>
            </c:numRef>
          </c:val>
        </c:ser>
        <c:ser>
          <c:idx val="4"/>
          <c:order val="4"/>
          <c:tx>
            <c:strRef>
              <c:f>Sheet1!$A$6</c:f>
              <c:strCache>
                <c:ptCount val="1"/>
                <c:pt idx="0">
                  <c:v/>
                </c:pt>
              </c:strCache>
            </c:strRef>
          </c:tx>
          <c:spPr>
            <a:solidFill>
              <a:srgbClr val="660066"/>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Sheet1!$B$6:$E$6</c:f>
              <c:numCache>
                <c:formatCode>General</c:formatCode>
                <c:ptCount val="4"/>
              </c:numCache>
            </c:numRef>
          </c:val>
        </c:ser>
        <c:ser>
          <c:idx val="5"/>
          <c:order val="5"/>
          <c:tx>
            <c:strRef>
              <c:f>Sheet1!$A$7</c:f>
              <c:strCache>
                <c:ptCount val="1"/>
                <c:pt idx="0">
                  <c:v/>
                </c:pt>
              </c:strCache>
            </c:strRef>
          </c:tx>
          <c:spPr>
            <a:solidFill>
              <a:srgbClr val="FF8080"/>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Sheet1!$B$7:$E$7</c:f>
              <c:numCache>
                <c:formatCode>General</c:formatCode>
                <c:ptCount val="4"/>
              </c:numCache>
            </c:numRef>
          </c:val>
        </c:ser>
        <c:ser>
          <c:idx val="6"/>
          <c:order val="6"/>
          <c:tx>
            <c:strRef>
              <c:f>Sheet1!$A$8</c:f>
              <c:strCache>
                <c:ptCount val="1"/>
                <c:pt idx="0">
                  <c:v/>
                </c:pt>
              </c:strCache>
            </c:strRef>
          </c:tx>
          <c:spPr>
            <a:solidFill>
              <a:srgbClr val="0066CC"/>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Sheet1!$B$8:$E$8</c:f>
              <c:numCache>
                <c:formatCode>General</c:formatCode>
                <c:ptCount val="4"/>
              </c:numCache>
            </c:numRef>
          </c:val>
        </c:ser>
        <c:ser>
          <c:idx val="7"/>
          <c:order val="7"/>
          <c:tx>
            <c:strRef>
              <c:f>Sheet1!$A$9</c:f>
              <c:strCache>
                <c:ptCount val="1"/>
                <c:pt idx="0">
                  <c:v/>
                </c:pt>
              </c:strCache>
            </c:strRef>
          </c:tx>
          <c:spPr>
            <a:solidFill>
              <a:srgbClr val="CCCCFF"/>
            </a:solidFill>
            <a:ln w="13441">
              <a:solidFill>
                <a:srgbClr val="000000"/>
              </a:solidFill>
              <a:prstDash val="solid"/>
            </a:ln>
          </c:spPr>
          <c:explosion val="0"/>
          <c:dPt>
            <c:idx val="0"/>
            <c:bubble3D val="0"/>
            <c:spPr>
              <a:solidFill>
                <a:srgbClr val="9999FF"/>
              </a:solidFill>
              <a:ln w="13441">
                <a:solidFill>
                  <a:srgbClr val="000000"/>
                </a:solidFill>
                <a:prstDash val="solid"/>
              </a:ln>
            </c:spPr>
          </c:dPt>
          <c:dPt>
            <c:idx val="1"/>
            <c:bubble3D val="0"/>
            <c:spPr>
              <a:solidFill>
                <a:srgbClr val="993366"/>
              </a:solidFill>
              <a:ln w="13441">
                <a:solidFill>
                  <a:srgbClr val="000000"/>
                </a:solidFill>
                <a:prstDash val="solid"/>
              </a:ln>
            </c:spPr>
          </c:dPt>
          <c:dPt>
            <c:idx val="2"/>
            <c:bubble3D val="0"/>
            <c:spPr>
              <a:solidFill>
                <a:srgbClr val="FFFFCC"/>
              </a:solidFill>
              <a:ln w="13441">
                <a:solidFill>
                  <a:srgbClr val="000000"/>
                </a:solidFill>
                <a:prstDash val="solid"/>
              </a:ln>
            </c:spPr>
          </c:dPt>
          <c:dPt>
            <c:idx val="3"/>
            <c:bubble3D val="0"/>
            <c:spPr>
              <a:solidFill>
                <a:srgbClr val="CCFFFF"/>
              </a:solidFill>
              <a:ln w="13441">
                <a:solidFill>
                  <a:srgbClr val="000000"/>
                </a:solidFill>
                <a:prstDash val="solid"/>
              </a:ln>
            </c:spPr>
          </c:dPt>
          <c:dLbls>
            <c:delete val="1"/>
          </c:dLbls>
          <c:cat>
            <c:strRef>
              <c:f>Sheet1!$B$1:$E$1</c:f>
              <c:strCache>
                <c:ptCount val="4"/>
                <c:pt idx="0">
                  <c:v>公共安全</c:v>
                </c:pt>
                <c:pt idx="1">
                  <c:v>社会保障和就业支出</c:v>
                </c:pt>
                <c:pt idx="2">
                  <c:v>医疗卫生与计划生育支出</c:v>
                </c:pt>
                <c:pt idx="3">
                  <c:v>住房保障支出</c:v>
                </c:pt>
              </c:strCache>
            </c:strRef>
          </c:cat>
          <c:val>
            <c:numRef>
              <c:f>Sheet1!$B$9:$E$9</c:f>
              <c:numCache>
                <c:formatCode>General</c:formatCode>
                <c:ptCount val="4"/>
              </c:numCache>
            </c:numRef>
          </c:val>
        </c:ser>
        <c:dLbls>
          <c:showLegendKey val="0"/>
          <c:showVal val="0"/>
          <c:showCatName val="0"/>
          <c:showSerName val="0"/>
          <c:showPercent val="0"/>
          <c:showBubbleSize val="0"/>
        </c:dLbls>
      </c:pie3DChart>
      <c:spPr>
        <a:solidFill>
          <a:srgbClr val="C0C0C0"/>
        </a:solidFill>
        <a:ln w="13441">
          <a:solidFill>
            <a:srgbClr val="808080"/>
          </a:solidFill>
          <a:prstDash val="solid"/>
        </a:ln>
      </c:spPr>
    </c:plotArea>
    <c:legend>
      <c:legendPos val="r"/>
      <c:layout>
        <c:manualLayout>
          <c:xMode val="edge"/>
          <c:yMode val="edge"/>
          <c:x val="0.654676258992806"/>
          <c:y val="0.0714285714285714"/>
          <c:w val="0.330935251798561"/>
          <c:h val="0.857142857142858"/>
        </c:manualLayout>
      </c:layout>
      <c:overlay val="0"/>
      <c:spPr>
        <a:noFill/>
        <a:ln w="3360">
          <a:solidFill>
            <a:srgbClr val="000000"/>
          </a:solidFill>
          <a:prstDash val="solid"/>
        </a:ln>
      </c:spPr>
      <c:txPr>
        <a:bodyPr rot="0" spcFirstLastPara="0" vertOverflow="ellipsis" vert="horz" wrap="square"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95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4402</Words>
  <Characters>1248</Characters>
  <Lines>10</Lines>
  <Paragraphs>11</Paragraphs>
  <TotalTime>501</TotalTime>
  <ScaleCrop>false</ScaleCrop>
  <LinksUpToDate>false</LinksUpToDate>
  <CharactersWithSpaces>5639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2021-08-18T05:56:00Z</dcterms:created>
  <dc:creator>Administrator</dc:creator>
  <cp:lastModifiedBy>小米</cp:lastModifiedBy>
  <cp:lastPrinted>2021-08-30T02:32:54Z</cp:lastPrinted>
  <dcterms:modified xsi:type="dcterms:W3CDTF">2021-08-30T02:33:17Z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2F9C0680F0274F65B6684CD03265D9E2</vt:lpwstr>
  </property>
</Properties>
</file>